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3B1B3" w14:textId="2D6C3A14" w:rsidR="00D96285" w:rsidRPr="007336CE" w:rsidRDefault="00D96285" w:rsidP="00FE1292">
      <w:pPr>
        <w:keepNext/>
        <w:rPr>
          <w:rFonts w:cs="Calibri"/>
          <w:b/>
          <w:bCs/>
          <w:sz w:val="24"/>
          <w:szCs w:val="22"/>
        </w:rPr>
      </w:pPr>
      <w:r w:rsidRPr="007336CE">
        <w:rPr>
          <w:rFonts w:cs="Calibri"/>
          <w:b/>
          <w:bCs/>
          <w:sz w:val="24"/>
          <w:szCs w:val="22"/>
        </w:rPr>
        <w:t>Approval</w:t>
      </w:r>
    </w:p>
    <w:p w14:paraId="24B4ED6E" w14:textId="77777777" w:rsidR="00EF5281" w:rsidRPr="007336CE" w:rsidRDefault="00EF5281" w:rsidP="00FE1292">
      <w:pPr>
        <w:keepNext/>
      </w:pPr>
    </w:p>
    <w:tbl>
      <w:tblPr>
        <w:tblStyle w:val="Tabellenraster"/>
        <w:tblW w:w="9918" w:type="dxa"/>
        <w:tblLayout w:type="fixed"/>
        <w:tblLook w:val="04A0" w:firstRow="1" w:lastRow="0" w:firstColumn="1" w:lastColumn="0" w:noHBand="0" w:noVBand="1"/>
      </w:tblPr>
      <w:tblGrid>
        <w:gridCol w:w="2547"/>
        <w:gridCol w:w="3544"/>
        <w:gridCol w:w="1701"/>
        <w:gridCol w:w="2126"/>
      </w:tblGrid>
      <w:tr w:rsidR="00236084" w:rsidRPr="007336CE" w14:paraId="00FAED10" w14:textId="77777777" w:rsidTr="001A675F">
        <w:tc>
          <w:tcPr>
            <w:tcW w:w="2547" w:type="dxa"/>
            <w:tcBorders>
              <w:top w:val="nil"/>
              <w:left w:val="nil"/>
              <w:bottom w:val="single" w:sz="4" w:space="0" w:color="auto"/>
              <w:right w:val="single" w:sz="4" w:space="0" w:color="auto"/>
            </w:tcBorders>
          </w:tcPr>
          <w:p w14:paraId="4C0560CA" w14:textId="77777777" w:rsidR="00236084" w:rsidRPr="007336CE" w:rsidRDefault="00236084" w:rsidP="00771E9E">
            <w:pPr>
              <w:spacing w:before="40" w:after="40"/>
              <w:rPr>
                <w:rFonts w:cs="Calibri"/>
                <w:b/>
                <w:bCs/>
              </w:rPr>
            </w:pPr>
          </w:p>
        </w:tc>
        <w:tc>
          <w:tcPr>
            <w:tcW w:w="35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5EF855" w14:textId="77777777" w:rsidR="00236084" w:rsidRPr="007336CE" w:rsidRDefault="00126ED5" w:rsidP="00771E9E">
            <w:pPr>
              <w:spacing w:before="40" w:after="40"/>
              <w:rPr>
                <w:rFonts w:cs="Calibri"/>
                <w:b/>
                <w:bCs/>
              </w:rPr>
            </w:pPr>
            <w:r w:rsidRPr="007336CE">
              <w:rPr>
                <w:rFonts w:cs="Calibri"/>
                <w:b/>
                <w:bCs/>
              </w:rPr>
              <w:t xml:space="preserve">Name, </w:t>
            </w:r>
            <w:r w:rsidR="00236084" w:rsidRPr="007336CE">
              <w:rPr>
                <w:rFonts w:cs="Calibri"/>
                <w:b/>
                <w:bCs/>
              </w:rPr>
              <w:t>Function</w:t>
            </w:r>
          </w:p>
        </w:tc>
        <w:tc>
          <w:tcPr>
            <w:tcW w:w="1701" w:type="dxa"/>
            <w:tcBorders>
              <w:left w:val="single" w:sz="4" w:space="0" w:color="auto"/>
            </w:tcBorders>
            <w:shd w:val="clear" w:color="auto" w:fill="BFBFBF" w:themeFill="background1" w:themeFillShade="BF"/>
            <w:vAlign w:val="center"/>
          </w:tcPr>
          <w:p w14:paraId="27698B47" w14:textId="77777777" w:rsidR="00236084" w:rsidRPr="007336CE" w:rsidRDefault="00236084" w:rsidP="00EF5281">
            <w:pPr>
              <w:spacing w:before="40" w:after="40"/>
              <w:jc w:val="center"/>
              <w:rPr>
                <w:rFonts w:cs="Calibri"/>
                <w:b/>
                <w:bCs/>
              </w:rPr>
            </w:pPr>
            <w:r w:rsidRPr="007336CE">
              <w:rPr>
                <w:rFonts w:cs="Calibri"/>
                <w:b/>
                <w:bCs/>
              </w:rPr>
              <w:t>Date</w:t>
            </w:r>
          </w:p>
        </w:tc>
        <w:tc>
          <w:tcPr>
            <w:tcW w:w="2126" w:type="dxa"/>
            <w:shd w:val="clear" w:color="auto" w:fill="BFBFBF" w:themeFill="background1" w:themeFillShade="BF"/>
            <w:vAlign w:val="center"/>
          </w:tcPr>
          <w:p w14:paraId="1710F7B1" w14:textId="77777777" w:rsidR="00236084" w:rsidRPr="007336CE" w:rsidRDefault="00236084" w:rsidP="00EF5281">
            <w:pPr>
              <w:spacing w:before="40" w:after="40"/>
              <w:jc w:val="center"/>
              <w:rPr>
                <w:rFonts w:cs="Calibri"/>
                <w:b/>
                <w:bCs/>
              </w:rPr>
            </w:pPr>
            <w:r w:rsidRPr="007336CE">
              <w:rPr>
                <w:rFonts w:cs="Calibri"/>
                <w:b/>
                <w:bCs/>
              </w:rPr>
              <w:t>Signature</w:t>
            </w:r>
          </w:p>
        </w:tc>
      </w:tr>
      <w:tr w:rsidR="005A134D" w:rsidRPr="007336CE" w14:paraId="3EA51325" w14:textId="77777777" w:rsidTr="0020251E">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653549" w14:textId="77777777" w:rsidR="005A134D" w:rsidRPr="007336CE" w:rsidRDefault="005A134D" w:rsidP="005A134D">
            <w:pPr>
              <w:spacing w:before="200" w:after="200"/>
              <w:rPr>
                <w:rFonts w:cs="Calibri"/>
                <w:b/>
                <w:bCs/>
              </w:rPr>
            </w:pPr>
            <w:r w:rsidRPr="007336CE">
              <w:rPr>
                <w:rFonts w:cs="Calibri"/>
                <w:b/>
                <w:bCs/>
              </w:rPr>
              <w:t>Author</w:t>
            </w:r>
          </w:p>
        </w:tc>
        <w:tc>
          <w:tcPr>
            <w:tcW w:w="3544" w:type="dxa"/>
            <w:tcBorders>
              <w:top w:val="single" w:sz="4" w:space="0" w:color="auto"/>
              <w:left w:val="single" w:sz="4" w:space="0" w:color="auto"/>
            </w:tcBorders>
            <w:vAlign w:val="center"/>
          </w:tcPr>
          <w:p w14:paraId="06BA0D63" w14:textId="77D181E7" w:rsidR="005A134D" w:rsidRPr="007336CE" w:rsidRDefault="005A134D" w:rsidP="005A134D">
            <w:pPr>
              <w:spacing w:before="60" w:after="60"/>
              <w:rPr>
                <w:rFonts w:cs="Calibri"/>
              </w:rPr>
            </w:pPr>
            <w:r>
              <w:rPr>
                <w:rFonts w:cs="Calibri"/>
              </w:rPr>
              <w:t>R. Eberhard</w:t>
            </w:r>
          </w:p>
        </w:tc>
        <w:tc>
          <w:tcPr>
            <w:tcW w:w="3827" w:type="dxa"/>
            <w:gridSpan w:val="2"/>
            <w:vAlign w:val="center"/>
          </w:tcPr>
          <w:p w14:paraId="61135B5E" w14:textId="1C9C19C1" w:rsidR="005A134D" w:rsidRPr="007336CE" w:rsidRDefault="005A134D" w:rsidP="005A134D">
            <w:pPr>
              <w:spacing w:before="60" w:after="60"/>
              <w:jc w:val="center"/>
              <w:rPr>
                <w:rFonts w:cs="Calibri"/>
              </w:rPr>
            </w:pPr>
          </w:p>
        </w:tc>
      </w:tr>
      <w:tr w:rsidR="00236084" w:rsidRPr="007336CE" w14:paraId="27C81F10" w14:textId="77777777" w:rsidTr="001A675F">
        <w:tc>
          <w:tcPr>
            <w:tcW w:w="2547" w:type="dxa"/>
            <w:tcBorders>
              <w:top w:val="single" w:sz="4" w:space="0" w:color="auto"/>
            </w:tcBorders>
            <w:shd w:val="clear" w:color="auto" w:fill="BFBFBF" w:themeFill="background1" w:themeFillShade="BF"/>
          </w:tcPr>
          <w:p w14:paraId="5DDC3ECB" w14:textId="77777777" w:rsidR="00236084" w:rsidRPr="007336CE" w:rsidRDefault="00236084" w:rsidP="00236084">
            <w:pPr>
              <w:spacing w:before="200" w:after="200"/>
              <w:rPr>
                <w:rFonts w:cs="Calibri"/>
                <w:b/>
                <w:bCs/>
              </w:rPr>
            </w:pPr>
            <w:r w:rsidRPr="007336CE">
              <w:rPr>
                <w:rFonts w:cs="Calibri"/>
                <w:b/>
                <w:bCs/>
              </w:rPr>
              <w:t xml:space="preserve">Content review </w:t>
            </w:r>
            <w:r w:rsidRPr="007336CE">
              <w:rPr>
                <w:rFonts w:cs="Calibri"/>
                <w:sz w:val="14"/>
                <w:szCs w:val="12"/>
              </w:rPr>
              <w:t>(optional)</w:t>
            </w:r>
          </w:p>
        </w:tc>
        <w:tc>
          <w:tcPr>
            <w:tcW w:w="3544" w:type="dxa"/>
            <w:vAlign w:val="center"/>
          </w:tcPr>
          <w:p w14:paraId="6561CF1B" w14:textId="66F17479" w:rsidR="00236084" w:rsidRPr="007336CE" w:rsidRDefault="007336CE" w:rsidP="00EF5281">
            <w:pPr>
              <w:spacing w:before="60" w:after="60"/>
              <w:rPr>
                <w:rFonts w:cs="Calibri"/>
              </w:rPr>
            </w:pPr>
            <w:r>
              <w:rPr>
                <w:rFonts w:cs="Calibri"/>
              </w:rPr>
              <w:t>n/a</w:t>
            </w:r>
          </w:p>
        </w:tc>
        <w:tc>
          <w:tcPr>
            <w:tcW w:w="1701" w:type="dxa"/>
            <w:vAlign w:val="center"/>
          </w:tcPr>
          <w:p w14:paraId="74532515" w14:textId="67797608" w:rsidR="00236084" w:rsidRPr="007336CE" w:rsidRDefault="007336CE" w:rsidP="00EF5281">
            <w:pPr>
              <w:spacing w:before="60" w:after="60"/>
              <w:jc w:val="center"/>
              <w:rPr>
                <w:rFonts w:cs="Calibri"/>
              </w:rPr>
            </w:pPr>
            <w:r>
              <w:rPr>
                <w:rFonts w:cs="Calibri"/>
              </w:rPr>
              <w:t>n/a</w:t>
            </w:r>
          </w:p>
        </w:tc>
        <w:tc>
          <w:tcPr>
            <w:tcW w:w="2126" w:type="dxa"/>
            <w:vAlign w:val="center"/>
          </w:tcPr>
          <w:p w14:paraId="34C29482" w14:textId="5FC650A5" w:rsidR="00236084" w:rsidRPr="007336CE" w:rsidRDefault="007336CE" w:rsidP="00EF5281">
            <w:pPr>
              <w:spacing w:before="60" w:after="60"/>
              <w:jc w:val="center"/>
              <w:rPr>
                <w:rFonts w:cs="Calibri"/>
              </w:rPr>
            </w:pPr>
            <w:r>
              <w:rPr>
                <w:rFonts w:cs="Calibri"/>
              </w:rPr>
              <w:t>n/a</w:t>
            </w:r>
          </w:p>
        </w:tc>
      </w:tr>
      <w:tr w:rsidR="005A134D" w:rsidRPr="007336CE" w14:paraId="1E868E56" w14:textId="77777777" w:rsidTr="007C3071">
        <w:tc>
          <w:tcPr>
            <w:tcW w:w="2547" w:type="dxa"/>
            <w:shd w:val="clear" w:color="auto" w:fill="BFBFBF" w:themeFill="background1" w:themeFillShade="BF"/>
          </w:tcPr>
          <w:p w14:paraId="435C6880" w14:textId="77777777" w:rsidR="005A134D" w:rsidRPr="007336CE" w:rsidRDefault="005A134D" w:rsidP="00236084">
            <w:pPr>
              <w:spacing w:before="200" w:after="200"/>
              <w:rPr>
                <w:rFonts w:cs="Calibri"/>
                <w:b/>
                <w:bCs/>
              </w:rPr>
            </w:pPr>
            <w:r w:rsidRPr="007336CE">
              <w:rPr>
                <w:rFonts w:cs="Calibri"/>
                <w:b/>
                <w:bCs/>
              </w:rPr>
              <w:t>Content approval</w:t>
            </w:r>
          </w:p>
        </w:tc>
        <w:tc>
          <w:tcPr>
            <w:tcW w:w="3544" w:type="dxa"/>
            <w:vAlign w:val="center"/>
          </w:tcPr>
          <w:p w14:paraId="4B21DF79" w14:textId="2D0498A3" w:rsidR="005A134D" w:rsidRPr="007336CE" w:rsidRDefault="005A134D" w:rsidP="007336CE">
            <w:pPr>
              <w:spacing w:before="60" w:after="60"/>
              <w:rPr>
                <w:rFonts w:cs="Calibri"/>
              </w:rPr>
            </w:pPr>
            <w:r>
              <w:rPr>
                <w:rFonts w:cs="Calibri"/>
              </w:rPr>
              <w:t>C. Lutz</w:t>
            </w:r>
          </w:p>
        </w:tc>
        <w:tc>
          <w:tcPr>
            <w:tcW w:w="3827" w:type="dxa"/>
            <w:gridSpan w:val="2"/>
            <w:vAlign w:val="center"/>
          </w:tcPr>
          <w:p w14:paraId="71A9EA18" w14:textId="77777777" w:rsidR="005A134D" w:rsidRPr="007336CE" w:rsidRDefault="005A134D" w:rsidP="00EF5281">
            <w:pPr>
              <w:spacing w:before="60" w:after="60"/>
              <w:jc w:val="center"/>
              <w:rPr>
                <w:rFonts w:cs="Calibri"/>
              </w:rPr>
            </w:pPr>
          </w:p>
        </w:tc>
        <w:bookmarkStart w:id="0" w:name="_GoBack"/>
        <w:bookmarkEnd w:id="0"/>
      </w:tr>
      <w:tr w:rsidR="004A0DA3" w:rsidRPr="007336CE" w14:paraId="35ABB794" w14:textId="77777777" w:rsidTr="00A36E23">
        <w:tc>
          <w:tcPr>
            <w:tcW w:w="2547" w:type="dxa"/>
            <w:shd w:val="clear" w:color="auto" w:fill="BFBFBF" w:themeFill="background1" w:themeFillShade="BF"/>
          </w:tcPr>
          <w:p w14:paraId="2B0F3736" w14:textId="77777777" w:rsidR="004A0DA3" w:rsidRPr="007336CE" w:rsidRDefault="004A0DA3" w:rsidP="007336CE">
            <w:pPr>
              <w:spacing w:before="200" w:after="200"/>
              <w:rPr>
                <w:rFonts w:cs="Calibri"/>
                <w:b/>
                <w:bCs/>
              </w:rPr>
            </w:pPr>
            <w:r w:rsidRPr="007336CE">
              <w:rPr>
                <w:rFonts w:cs="Calibri"/>
                <w:b/>
                <w:bCs/>
              </w:rPr>
              <w:t>Document approval</w:t>
            </w:r>
          </w:p>
        </w:tc>
        <w:tc>
          <w:tcPr>
            <w:tcW w:w="3544" w:type="dxa"/>
            <w:vAlign w:val="center"/>
          </w:tcPr>
          <w:p w14:paraId="01C5CE6A" w14:textId="4AA74410" w:rsidR="004A0DA3" w:rsidRPr="007336CE" w:rsidRDefault="005A134D" w:rsidP="007336CE">
            <w:pPr>
              <w:spacing w:before="60" w:after="60"/>
              <w:rPr>
                <w:rFonts w:cs="Calibri"/>
              </w:rPr>
            </w:pPr>
            <w:r>
              <w:rPr>
                <w:rFonts w:cs="Calibri"/>
              </w:rPr>
              <w:t>R. Pinnow</w:t>
            </w:r>
          </w:p>
        </w:tc>
        <w:tc>
          <w:tcPr>
            <w:tcW w:w="3827" w:type="dxa"/>
            <w:gridSpan w:val="2"/>
            <w:vAlign w:val="center"/>
          </w:tcPr>
          <w:p w14:paraId="51CCB795" w14:textId="77777777" w:rsidR="004A0DA3" w:rsidRPr="007336CE" w:rsidRDefault="004A0DA3" w:rsidP="007336CE">
            <w:pPr>
              <w:spacing w:before="60" w:after="60"/>
              <w:jc w:val="center"/>
              <w:rPr>
                <w:rFonts w:cs="Calibri"/>
              </w:rPr>
            </w:pPr>
          </w:p>
        </w:tc>
      </w:tr>
    </w:tbl>
    <w:p w14:paraId="17AE8A8D" w14:textId="77777777" w:rsidR="0003396C" w:rsidRPr="007336CE" w:rsidRDefault="0003396C" w:rsidP="00447903">
      <w:pPr>
        <w:rPr>
          <w:rFonts w:cs="Calibri"/>
        </w:rPr>
      </w:pPr>
    </w:p>
    <w:p w14:paraId="1E05F846" w14:textId="77777777" w:rsidR="00771E9E" w:rsidRPr="007336CE" w:rsidRDefault="00771E9E" w:rsidP="00447903">
      <w:pPr>
        <w:rPr>
          <w:rFonts w:cs="Calibri"/>
        </w:rPr>
      </w:pPr>
    </w:p>
    <w:p w14:paraId="66125FFB" w14:textId="77777777" w:rsidR="00771E9E" w:rsidRPr="007336CE" w:rsidRDefault="00771E9E" w:rsidP="00FE1292">
      <w:pPr>
        <w:keepNext/>
        <w:rPr>
          <w:rFonts w:cs="Calibri"/>
          <w:b/>
          <w:bCs/>
          <w:sz w:val="24"/>
          <w:szCs w:val="22"/>
        </w:rPr>
      </w:pPr>
      <w:r w:rsidRPr="007336CE">
        <w:rPr>
          <w:rFonts w:cs="Calibri"/>
          <w:b/>
          <w:bCs/>
          <w:sz w:val="24"/>
          <w:szCs w:val="22"/>
        </w:rPr>
        <w:t>History</w:t>
      </w:r>
    </w:p>
    <w:p w14:paraId="69F9161E" w14:textId="77777777" w:rsidR="00771E9E" w:rsidRPr="007336CE" w:rsidRDefault="00771E9E" w:rsidP="00FE1292">
      <w:pPr>
        <w:keepNext/>
        <w:rPr>
          <w:rFonts w:cs="Calibri"/>
        </w:rPr>
      </w:pPr>
    </w:p>
    <w:tbl>
      <w:tblPr>
        <w:tblW w:w="9918"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46"/>
        <w:gridCol w:w="1276"/>
        <w:gridCol w:w="2126"/>
        <w:gridCol w:w="5670"/>
      </w:tblGrid>
      <w:tr w:rsidR="000E7262" w:rsidRPr="007336CE" w14:paraId="5457D679" w14:textId="77777777" w:rsidTr="001A675F">
        <w:trPr>
          <w:trHeight w:val="78"/>
          <w:tblHeader/>
        </w:trPr>
        <w:tc>
          <w:tcPr>
            <w:tcW w:w="846" w:type="dxa"/>
            <w:tcBorders>
              <w:top w:val="single" w:sz="4" w:space="0" w:color="auto"/>
              <w:bottom w:val="single" w:sz="4" w:space="0" w:color="auto"/>
              <w:right w:val="single" w:sz="4" w:space="0" w:color="auto"/>
            </w:tcBorders>
            <w:shd w:val="clear" w:color="auto" w:fill="BFBFBF" w:themeFill="background1" w:themeFillShade="BF"/>
            <w:vAlign w:val="center"/>
          </w:tcPr>
          <w:p w14:paraId="13D2795B" w14:textId="77777777" w:rsidR="000E7262" w:rsidRPr="007336CE" w:rsidRDefault="000E7262" w:rsidP="00FE1292">
            <w:pPr>
              <w:keepNext/>
              <w:jc w:val="center"/>
              <w:rPr>
                <w:rFonts w:cs="Calibri"/>
                <w:b/>
                <w:sz w:val="20"/>
              </w:rPr>
            </w:pPr>
            <w:r w:rsidRPr="007336CE">
              <w:rPr>
                <w:rFonts w:cs="Calibri"/>
                <w:b/>
                <w:sz w:val="20"/>
              </w:rPr>
              <w:t>Version</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866696" w14:textId="77777777" w:rsidR="000E7262" w:rsidRPr="007336CE" w:rsidRDefault="00CD3455" w:rsidP="00FE1292">
            <w:pPr>
              <w:keepNext/>
              <w:jc w:val="center"/>
              <w:rPr>
                <w:rFonts w:cs="Calibri"/>
                <w:b/>
                <w:sz w:val="20"/>
              </w:rPr>
            </w:pPr>
            <w:r w:rsidRPr="007336CE">
              <w:rPr>
                <w:rFonts w:cs="Calibri"/>
                <w:b/>
                <w:sz w:val="20"/>
              </w:rPr>
              <w:t>Date</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1A49C2" w14:textId="77777777" w:rsidR="000E7262" w:rsidRPr="007336CE" w:rsidRDefault="000E7262" w:rsidP="00FE1292">
            <w:pPr>
              <w:keepNext/>
              <w:jc w:val="center"/>
              <w:rPr>
                <w:rFonts w:cs="Calibri"/>
                <w:b/>
                <w:sz w:val="20"/>
              </w:rPr>
            </w:pPr>
            <w:r w:rsidRPr="007336CE">
              <w:rPr>
                <w:rFonts w:cs="Calibri"/>
                <w:b/>
                <w:sz w:val="20"/>
              </w:rPr>
              <w:t>Author</w:t>
            </w:r>
          </w:p>
        </w:tc>
        <w:tc>
          <w:tcPr>
            <w:tcW w:w="5670" w:type="dxa"/>
            <w:tcBorders>
              <w:top w:val="single" w:sz="4" w:space="0" w:color="auto"/>
              <w:left w:val="single" w:sz="4" w:space="0" w:color="auto"/>
              <w:bottom w:val="single" w:sz="4" w:space="0" w:color="auto"/>
            </w:tcBorders>
            <w:shd w:val="clear" w:color="auto" w:fill="BFBFBF" w:themeFill="background1" w:themeFillShade="BF"/>
          </w:tcPr>
          <w:p w14:paraId="5A8C52F8" w14:textId="77777777" w:rsidR="000E7262" w:rsidRPr="007336CE" w:rsidRDefault="000E7262" w:rsidP="00FE1292">
            <w:pPr>
              <w:keepNext/>
              <w:jc w:val="center"/>
              <w:rPr>
                <w:rFonts w:cs="Calibri"/>
                <w:b/>
                <w:sz w:val="20"/>
              </w:rPr>
            </w:pPr>
            <w:r w:rsidRPr="007336CE">
              <w:rPr>
                <w:rFonts w:cs="Calibri"/>
                <w:b/>
                <w:sz w:val="20"/>
              </w:rPr>
              <w:t>Description</w:t>
            </w:r>
          </w:p>
        </w:tc>
      </w:tr>
      <w:tr w:rsidR="000E7262" w:rsidRPr="007336CE" w14:paraId="52DCEAAD" w14:textId="77777777" w:rsidTr="000E7262">
        <w:trPr>
          <w:trHeight w:val="202"/>
        </w:trPr>
        <w:tc>
          <w:tcPr>
            <w:tcW w:w="846" w:type="dxa"/>
            <w:tcBorders>
              <w:top w:val="single" w:sz="4" w:space="0" w:color="auto"/>
              <w:bottom w:val="single" w:sz="4" w:space="0" w:color="auto"/>
              <w:right w:val="single" w:sz="4" w:space="0" w:color="auto"/>
            </w:tcBorders>
            <w:vAlign w:val="center"/>
          </w:tcPr>
          <w:p w14:paraId="48CBCCC1" w14:textId="77777777" w:rsidR="000E7262" w:rsidRPr="007336CE" w:rsidRDefault="000E7262" w:rsidP="000E7262">
            <w:pPr>
              <w:jc w:val="center"/>
              <w:rPr>
                <w:rFonts w:cs="Calibri"/>
                <w:sz w:val="20"/>
              </w:rPr>
            </w:pPr>
            <w:r w:rsidRPr="007336CE">
              <w:rPr>
                <w:rFonts w:cs="Calibri"/>
                <w:sz w:val="20"/>
              </w:rPr>
              <w:t>1.0</w:t>
            </w:r>
          </w:p>
        </w:tc>
        <w:tc>
          <w:tcPr>
            <w:tcW w:w="1276" w:type="dxa"/>
            <w:tcBorders>
              <w:top w:val="single" w:sz="4" w:space="0" w:color="auto"/>
              <w:left w:val="single" w:sz="4" w:space="0" w:color="auto"/>
              <w:bottom w:val="single" w:sz="4" w:space="0" w:color="auto"/>
              <w:right w:val="single" w:sz="4" w:space="0" w:color="auto"/>
            </w:tcBorders>
            <w:vAlign w:val="center"/>
          </w:tcPr>
          <w:p w14:paraId="4D7AD810" w14:textId="58061484" w:rsidR="000E7262" w:rsidRPr="007336CE" w:rsidRDefault="005A134D" w:rsidP="005A134D">
            <w:pPr>
              <w:jc w:val="center"/>
              <w:rPr>
                <w:rFonts w:cs="Calibri"/>
                <w:sz w:val="20"/>
              </w:rPr>
            </w:pPr>
            <w:r>
              <w:rPr>
                <w:rFonts w:cs="Calibri"/>
                <w:sz w:val="20"/>
              </w:rPr>
              <w:t>tt.mm</w:t>
            </w:r>
            <w:r w:rsidR="007336CE">
              <w:rPr>
                <w:rFonts w:cs="Calibri"/>
                <w:sz w:val="20"/>
              </w:rPr>
              <w:t>.2026</w:t>
            </w:r>
          </w:p>
        </w:tc>
        <w:tc>
          <w:tcPr>
            <w:tcW w:w="2126" w:type="dxa"/>
            <w:tcBorders>
              <w:top w:val="single" w:sz="4" w:space="0" w:color="auto"/>
              <w:left w:val="single" w:sz="4" w:space="0" w:color="auto"/>
              <w:bottom w:val="single" w:sz="4" w:space="0" w:color="auto"/>
              <w:right w:val="single" w:sz="4" w:space="0" w:color="auto"/>
            </w:tcBorders>
            <w:vAlign w:val="center"/>
          </w:tcPr>
          <w:p w14:paraId="7CBFB061" w14:textId="589EC238" w:rsidR="000E7262" w:rsidRPr="007336CE" w:rsidRDefault="00A821CC" w:rsidP="005A134D">
            <w:pPr>
              <w:rPr>
                <w:rFonts w:cs="Calibri"/>
                <w:sz w:val="20"/>
              </w:rPr>
            </w:pPr>
            <w:r>
              <w:rPr>
                <w:rFonts w:cs="Calibri"/>
                <w:sz w:val="20"/>
              </w:rPr>
              <w:t xml:space="preserve">R. </w:t>
            </w:r>
            <w:r w:rsidR="005A134D">
              <w:rPr>
                <w:rFonts w:cs="Calibri"/>
                <w:sz w:val="20"/>
              </w:rPr>
              <w:t>Eberhard</w:t>
            </w:r>
            <w:r>
              <w:rPr>
                <w:rFonts w:cs="Calibri"/>
                <w:sz w:val="20"/>
              </w:rPr>
              <w:t>, ATGD</w:t>
            </w:r>
          </w:p>
        </w:tc>
        <w:tc>
          <w:tcPr>
            <w:tcW w:w="5670" w:type="dxa"/>
            <w:tcBorders>
              <w:top w:val="single" w:sz="4" w:space="0" w:color="auto"/>
              <w:left w:val="single" w:sz="4" w:space="0" w:color="auto"/>
              <w:bottom w:val="single" w:sz="4" w:space="0" w:color="auto"/>
            </w:tcBorders>
            <w:vAlign w:val="center"/>
          </w:tcPr>
          <w:p w14:paraId="60DE7FE2" w14:textId="77777777" w:rsidR="000E7262" w:rsidRPr="007336CE" w:rsidRDefault="000E7262" w:rsidP="000E7262">
            <w:pPr>
              <w:rPr>
                <w:rFonts w:cs="Calibri"/>
                <w:sz w:val="20"/>
              </w:rPr>
            </w:pPr>
            <w:r w:rsidRPr="007336CE">
              <w:rPr>
                <w:rFonts w:cs="Calibri"/>
                <w:sz w:val="20"/>
              </w:rPr>
              <w:t>Document created, initial version</w:t>
            </w:r>
          </w:p>
        </w:tc>
      </w:tr>
      <w:tr w:rsidR="00503F85" w:rsidRPr="007336CE" w14:paraId="2B746BB7" w14:textId="77777777" w:rsidTr="000E7262">
        <w:trPr>
          <w:trHeight w:val="202"/>
        </w:trPr>
        <w:tc>
          <w:tcPr>
            <w:tcW w:w="846" w:type="dxa"/>
            <w:tcBorders>
              <w:top w:val="single" w:sz="4" w:space="0" w:color="auto"/>
              <w:bottom w:val="single" w:sz="4" w:space="0" w:color="auto"/>
              <w:right w:val="single" w:sz="4" w:space="0" w:color="auto"/>
            </w:tcBorders>
            <w:vAlign w:val="center"/>
          </w:tcPr>
          <w:p w14:paraId="0023C612" w14:textId="77777777" w:rsidR="00503F85" w:rsidRPr="007336CE" w:rsidRDefault="00503F85" w:rsidP="000E7262">
            <w:pPr>
              <w:jc w:val="center"/>
              <w:rPr>
                <w:rFonts w:cs="Calibri"/>
                <w:sz w:val="20"/>
              </w:rPr>
            </w:pPr>
            <w:r/>
            <w:r>
              <w:t>1.1</w:t>
            </w:r>
          </w:p>
        </w:tc>
        <w:tc>
          <w:tcPr>
            <w:tcW w:w="1276" w:type="dxa"/>
            <w:tcBorders>
              <w:top w:val="single" w:sz="4" w:space="0" w:color="auto"/>
              <w:left w:val="single" w:sz="4" w:space="0" w:color="auto"/>
              <w:bottom w:val="single" w:sz="4" w:space="0" w:color="auto"/>
              <w:right w:val="single" w:sz="4" w:space="0" w:color="auto"/>
            </w:tcBorders>
            <w:vAlign w:val="center"/>
          </w:tcPr>
          <w:p w14:paraId="77723E22" w14:textId="77777777" w:rsidR="00503F85" w:rsidRPr="007336CE" w:rsidRDefault="00503F85" w:rsidP="000E7262">
            <w:pPr>
              <w:jc w:val="center"/>
              <w:rPr>
                <w:rFonts w:cs="Calibri"/>
                <w:sz w:val="20"/>
              </w:rPr>
            </w:pPr>
            <w:r/>
            <w:r>
              <w:t>10.07.2026</w:t>
            </w:r>
          </w:p>
        </w:tc>
        <w:tc>
          <w:tcPr>
            <w:tcW w:w="2126" w:type="dxa"/>
            <w:tcBorders>
              <w:top w:val="single" w:sz="4" w:space="0" w:color="auto"/>
              <w:left w:val="single" w:sz="4" w:space="0" w:color="auto"/>
              <w:bottom w:val="single" w:sz="4" w:space="0" w:color="auto"/>
              <w:right w:val="single" w:sz="4" w:space="0" w:color="auto"/>
            </w:tcBorders>
            <w:vAlign w:val="center"/>
          </w:tcPr>
          <w:p w14:paraId="74C694E3" w14:textId="77777777" w:rsidR="00503F85" w:rsidRPr="007336CE" w:rsidRDefault="00503F85" w:rsidP="000E7262">
            <w:pPr>
              <w:rPr>
                <w:rFonts w:cs="Calibri"/>
                <w:sz w:val="20"/>
              </w:rPr>
            </w:pPr>
            <w:r/>
            <w:r>
              <w:t>C. Lutz</w:t>
            </w:r>
          </w:p>
        </w:tc>
        <w:tc>
          <w:tcPr>
            <w:tcW w:w="5670" w:type="dxa"/>
            <w:tcBorders>
              <w:top w:val="single" w:sz="4" w:space="0" w:color="auto"/>
              <w:left w:val="single" w:sz="4" w:space="0" w:color="auto"/>
              <w:bottom w:val="single" w:sz="4" w:space="0" w:color="auto"/>
            </w:tcBorders>
            <w:vAlign w:val="center"/>
          </w:tcPr>
          <w:p w14:paraId="014ABE55" w14:textId="77777777" w:rsidR="00503F85" w:rsidRPr="007336CE" w:rsidRDefault="00503F85" w:rsidP="000E7262">
            <w:pPr>
              <w:rPr>
                <w:rFonts w:cs="Calibri"/>
                <w:sz w:val="20"/>
              </w:rPr>
            </w:pPr>
            <w:r/>
            <w:r>
              <w:t>CRA regulatory background, obligations, positions and scenarios merged from CRA-Survival-Guide.md</w:t>
            </w:r>
          </w:p>
        </w:tc>
      </w:tr>
      <w:tr w:rsidR="00503F85" w:rsidRPr="007336CE" w14:paraId="3D79E5BA" w14:textId="77777777" w:rsidTr="000E7262">
        <w:trPr>
          <w:trHeight w:val="202"/>
        </w:trPr>
        <w:tc>
          <w:tcPr>
            <w:tcW w:w="846" w:type="dxa"/>
            <w:tcBorders>
              <w:top w:val="single" w:sz="4" w:space="0" w:color="auto"/>
              <w:bottom w:val="single" w:sz="4" w:space="0" w:color="auto"/>
              <w:right w:val="single" w:sz="4" w:space="0" w:color="auto"/>
            </w:tcBorders>
            <w:vAlign w:val="center"/>
          </w:tcPr>
          <w:p w14:paraId="2C552519" w14:textId="77777777" w:rsidR="00503F85" w:rsidRPr="007336CE" w:rsidRDefault="00503F85" w:rsidP="000E7262">
            <w:pPr>
              <w:jc w:val="center"/>
              <w:rPr>
                <w:rFonts w:cs="Calibri"/>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97CF859" w14:textId="77777777" w:rsidR="00503F85" w:rsidRPr="007336CE" w:rsidRDefault="00503F85" w:rsidP="000E7262">
            <w:pPr>
              <w:jc w:val="center"/>
              <w:rPr>
                <w:rFonts w:cs="Calibri"/>
                <w:sz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A5062BC" w14:textId="77777777" w:rsidR="00503F85" w:rsidRPr="007336CE" w:rsidRDefault="00503F85" w:rsidP="000E7262">
            <w:pPr>
              <w:rPr>
                <w:rFonts w:cs="Calibri"/>
                <w:sz w:val="20"/>
              </w:rPr>
            </w:pPr>
          </w:p>
        </w:tc>
        <w:tc>
          <w:tcPr>
            <w:tcW w:w="5670" w:type="dxa"/>
            <w:tcBorders>
              <w:top w:val="single" w:sz="4" w:space="0" w:color="auto"/>
              <w:left w:val="single" w:sz="4" w:space="0" w:color="auto"/>
              <w:bottom w:val="single" w:sz="4" w:space="0" w:color="auto"/>
            </w:tcBorders>
            <w:vAlign w:val="center"/>
          </w:tcPr>
          <w:p w14:paraId="68E893C5" w14:textId="77777777" w:rsidR="00503F85" w:rsidRPr="007336CE" w:rsidRDefault="00503F85" w:rsidP="000E7262">
            <w:pPr>
              <w:rPr>
                <w:rFonts w:cs="Calibri"/>
                <w:sz w:val="20"/>
              </w:rPr>
            </w:pPr>
          </w:p>
        </w:tc>
      </w:tr>
    </w:tbl>
    <w:p w14:paraId="086EDF66" w14:textId="77777777" w:rsidR="00526964" w:rsidRPr="007336CE" w:rsidRDefault="00526964">
      <w:pPr>
        <w:rPr>
          <w:rFonts w:cs="Calibri"/>
        </w:rPr>
      </w:pPr>
    </w:p>
    <w:p w14:paraId="207D02D4" w14:textId="77777777" w:rsidR="00C637A0" w:rsidRPr="007336CE" w:rsidRDefault="00C637A0">
      <w:pPr>
        <w:rPr>
          <w:rFonts w:cs="Calibri"/>
        </w:rPr>
      </w:pPr>
    </w:p>
    <w:p w14:paraId="76E25062" w14:textId="77777777" w:rsidR="00DE56EF" w:rsidRPr="007336CE" w:rsidRDefault="00DE56EF">
      <w:pPr>
        <w:rPr>
          <w:rFonts w:cs="Calibri"/>
        </w:rPr>
      </w:pPr>
    </w:p>
    <w:p w14:paraId="6332C9D8" w14:textId="77777777" w:rsidR="00DE56EF" w:rsidRPr="007336CE" w:rsidRDefault="00C637A0" w:rsidP="00FE1292">
      <w:pPr>
        <w:keepNext/>
        <w:rPr>
          <w:rFonts w:cs="Calibri"/>
          <w:b/>
          <w:bCs/>
          <w:sz w:val="24"/>
          <w:szCs w:val="22"/>
        </w:rPr>
      </w:pPr>
      <w:r w:rsidRPr="007336CE">
        <w:rPr>
          <w:rFonts w:cs="Calibri"/>
          <w:b/>
          <w:bCs/>
          <w:sz w:val="24"/>
          <w:szCs w:val="22"/>
        </w:rPr>
        <w:t>Table of Content</w:t>
      </w:r>
    </w:p>
    <w:sdt>
      <w:sdtPr>
        <w:id w:val="-801923090"/>
        <w:docPartObj>
          <w:docPartGallery w:val="Table of Contents"/>
          <w:docPartUnique/>
        </w:docPartObj>
      </w:sdtPr>
      <w:sdtEndPr>
        <w:rPr>
          <w:b/>
          <w:bCs/>
        </w:rPr>
      </w:sdtEndPr>
      <w:sdtContent>
        <w:p w14:paraId="2E764241" w14:textId="77777777" w:rsidR="00C637A0" w:rsidRPr="007336CE" w:rsidRDefault="00C637A0" w:rsidP="00FE1292">
          <w:pPr>
            <w:keepNext/>
          </w:pPr>
        </w:p>
        <w:p w14:paraId="5D86AB54" w14:textId="2E1FA79B" w:rsidR="004F3544" w:rsidRDefault="00C637A0">
          <w:pPr>
            <w:pStyle w:val="Verzeichnis1"/>
            <w:rPr>
              <w:rFonts w:asciiTheme="minorHAnsi" w:eastAsiaTheme="minorEastAsia" w:hAnsiTheme="minorHAnsi" w:cstheme="minorBidi"/>
              <w:smallCaps w:val="0"/>
              <w:sz w:val="22"/>
              <w:szCs w:val="22"/>
              <w:lang w:eastAsia="en-GB"/>
            </w:rPr>
          </w:pPr>
          <w:r w:rsidRPr="007336CE">
            <w:rPr>
              <w:rFonts w:cs="Calibri"/>
              <w:sz w:val="22"/>
              <w:szCs w:val="22"/>
            </w:rPr>
            <w:fldChar w:fldCharType="begin"/>
          </w:r>
          <w:r w:rsidRPr="007336CE">
            <w:rPr>
              <w:rFonts w:cs="Calibri"/>
              <w:sz w:val="22"/>
              <w:szCs w:val="22"/>
            </w:rPr>
            <w:instrText xml:space="preserve"> TOC \o "1-3" \h \z \u </w:instrText>
          </w:r>
          <w:r w:rsidRPr="007336CE">
            <w:rPr>
              <w:rFonts w:cs="Calibri"/>
              <w:sz w:val="22"/>
              <w:szCs w:val="22"/>
            </w:rPr>
            <w:fldChar w:fldCharType="separate"/>
          </w:r>
          <w:hyperlink w:anchor="_Toc233100344" w:history="1">
            <w:r w:rsidR="004F3544" w:rsidRPr="006F2B59">
              <w:rPr>
                <w:rStyle w:val="Hyperlink"/>
              </w:rPr>
              <w:t>1.</w:t>
            </w:r>
            <w:r w:rsidR="004F3544">
              <w:rPr>
                <w:rFonts w:asciiTheme="minorHAnsi" w:eastAsiaTheme="minorEastAsia" w:hAnsiTheme="minorHAnsi" w:cstheme="minorBidi"/>
                <w:smallCaps w:val="0"/>
                <w:sz w:val="22"/>
                <w:szCs w:val="22"/>
                <w:lang w:eastAsia="en-GB"/>
              </w:rPr>
              <w:tab/>
            </w:r>
            <w:r w:rsidR="004F3544" w:rsidRPr="006F2B59">
              <w:rPr>
                <w:rStyle w:val="Hyperlink"/>
              </w:rPr>
              <w:t>Purpose</w:t>
            </w:r>
            <w:r w:rsidR="004F3544">
              <w:rPr>
                <w:webHidden/>
              </w:rPr>
              <w:tab/>
            </w:r>
            <w:r w:rsidR="004F3544">
              <w:rPr>
                <w:webHidden/>
              </w:rPr>
              <w:fldChar w:fldCharType="begin"/>
            </w:r>
            <w:r w:rsidR="004F3544">
              <w:rPr>
                <w:webHidden/>
              </w:rPr>
              <w:instrText xml:space="preserve"> PAGEREF _Toc233100344 \h </w:instrText>
            </w:r>
            <w:r w:rsidR="004F3544">
              <w:rPr>
                <w:webHidden/>
              </w:rPr>
            </w:r>
            <w:r w:rsidR="004F3544">
              <w:rPr>
                <w:webHidden/>
              </w:rPr>
              <w:fldChar w:fldCharType="separate"/>
            </w:r>
            <w:r w:rsidR="004F3544">
              <w:rPr>
                <w:webHidden/>
              </w:rPr>
              <w:t>2</w:t>
            </w:r>
            <w:r w:rsidR="004F3544">
              <w:rPr>
                <w:webHidden/>
              </w:rPr>
              <w:fldChar w:fldCharType="end"/>
            </w:r>
          </w:hyperlink>
        </w:p>
        <w:p w14:paraId="12678DC9" w14:textId="16DA7528" w:rsidR="004F3544" w:rsidRDefault="004A4A9F">
          <w:pPr>
            <w:pStyle w:val="Verzeichnis1"/>
            <w:rPr>
              <w:rFonts w:asciiTheme="minorHAnsi" w:eastAsiaTheme="minorEastAsia" w:hAnsiTheme="minorHAnsi" w:cstheme="minorBidi"/>
              <w:smallCaps w:val="0"/>
              <w:sz w:val="22"/>
              <w:szCs w:val="22"/>
              <w:lang w:eastAsia="en-GB"/>
            </w:rPr>
          </w:pPr>
          <w:hyperlink w:anchor="_Toc233100345" w:history="1">
            <w:r w:rsidR="004F3544" w:rsidRPr="006F2B59">
              <w:rPr>
                <w:rStyle w:val="Hyperlink"/>
              </w:rPr>
              <w:t>2.</w:t>
            </w:r>
            <w:r w:rsidR="004F3544">
              <w:rPr>
                <w:rFonts w:asciiTheme="minorHAnsi" w:eastAsiaTheme="minorEastAsia" w:hAnsiTheme="minorHAnsi" w:cstheme="minorBidi"/>
                <w:smallCaps w:val="0"/>
                <w:sz w:val="22"/>
                <w:szCs w:val="22"/>
                <w:lang w:eastAsia="en-GB"/>
              </w:rPr>
              <w:tab/>
            </w:r>
            <w:r w:rsidR="004F3544" w:rsidRPr="006F2B59">
              <w:rPr>
                <w:rStyle w:val="Hyperlink"/>
              </w:rPr>
              <w:t>Scope</w:t>
            </w:r>
            <w:r w:rsidR="004F3544">
              <w:rPr>
                <w:webHidden/>
              </w:rPr>
              <w:tab/>
            </w:r>
            <w:r w:rsidR="004F3544">
              <w:rPr>
                <w:webHidden/>
              </w:rPr>
              <w:fldChar w:fldCharType="begin"/>
            </w:r>
            <w:r w:rsidR="004F3544">
              <w:rPr>
                <w:webHidden/>
              </w:rPr>
              <w:instrText xml:space="preserve"> PAGEREF _Toc233100345 \h </w:instrText>
            </w:r>
            <w:r w:rsidR="004F3544">
              <w:rPr>
                <w:webHidden/>
              </w:rPr>
            </w:r>
            <w:r w:rsidR="004F3544">
              <w:rPr>
                <w:webHidden/>
              </w:rPr>
              <w:fldChar w:fldCharType="separate"/>
            </w:r>
            <w:r w:rsidR="004F3544">
              <w:rPr>
                <w:webHidden/>
              </w:rPr>
              <w:t>2</w:t>
            </w:r>
            <w:r w:rsidR="004F3544">
              <w:rPr>
                <w:webHidden/>
              </w:rPr>
              <w:fldChar w:fldCharType="end"/>
            </w:r>
          </w:hyperlink>
        </w:p>
        <w:p w14:paraId="29B70A73" w14:textId="171EC2D0" w:rsidR="004F3544" w:rsidRDefault="004A4A9F">
          <w:pPr>
            <w:pStyle w:val="Verzeichnis1"/>
            <w:rPr>
              <w:rFonts w:asciiTheme="minorHAnsi" w:eastAsiaTheme="minorEastAsia" w:hAnsiTheme="minorHAnsi" w:cstheme="minorBidi"/>
              <w:smallCaps w:val="0"/>
              <w:sz w:val="22"/>
              <w:szCs w:val="22"/>
              <w:lang w:eastAsia="en-GB"/>
            </w:rPr>
          </w:pPr>
          <w:hyperlink w:anchor="_Toc233100346" w:history="1">
            <w:r w:rsidR="004F3544" w:rsidRPr="006F2B59">
              <w:rPr>
                <w:rStyle w:val="Hyperlink"/>
              </w:rPr>
              <w:t>3.</w:t>
            </w:r>
            <w:r w:rsidR="004F3544">
              <w:rPr>
                <w:rFonts w:asciiTheme="minorHAnsi" w:eastAsiaTheme="minorEastAsia" w:hAnsiTheme="minorHAnsi" w:cstheme="minorBidi"/>
                <w:smallCaps w:val="0"/>
                <w:sz w:val="22"/>
                <w:szCs w:val="22"/>
                <w:lang w:eastAsia="en-GB"/>
              </w:rPr>
              <w:tab/>
            </w:r>
            <w:r w:rsidR="004F3544" w:rsidRPr="006F2B59">
              <w:rPr>
                <w:rStyle w:val="Hyperlink"/>
              </w:rPr>
              <w:t>Abbreviations and definitions</w:t>
            </w:r>
            <w:r w:rsidR="004F3544">
              <w:rPr>
                <w:webHidden/>
              </w:rPr>
              <w:tab/>
            </w:r>
            <w:r w:rsidR="004F3544">
              <w:rPr>
                <w:webHidden/>
              </w:rPr>
              <w:fldChar w:fldCharType="begin"/>
            </w:r>
            <w:r w:rsidR="004F3544">
              <w:rPr>
                <w:webHidden/>
              </w:rPr>
              <w:instrText xml:space="preserve"> PAGEREF _Toc233100346 \h </w:instrText>
            </w:r>
            <w:r w:rsidR="004F3544">
              <w:rPr>
                <w:webHidden/>
              </w:rPr>
            </w:r>
            <w:r w:rsidR="004F3544">
              <w:rPr>
                <w:webHidden/>
              </w:rPr>
              <w:fldChar w:fldCharType="separate"/>
            </w:r>
            <w:r w:rsidR="004F3544">
              <w:rPr>
                <w:webHidden/>
              </w:rPr>
              <w:t>2</w:t>
            </w:r>
            <w:r w:rsidR="004F3544">
              <w:rPr>
                <w:webHidden/>
              </w:rPr>
              <w:fldChar w:fldCharType="end"/>
            </w:r>
          </w:hyperlink>
        </w:p>
        <w:p w14:paraId="6E189A9E" w14:textId="40BB585C" w:rsidR="004F3544" w:rsidRDefault="004A4A9F">
          <w:pPr>
            <w:pStyle w:val="Verzeichnis1"/>
            <w:rPr>
              <w:rFonts w:asciiTheme="minorHAnsi" w:eastAsiaTheme="minorEastAsia" w:hAnsiTheme="minorHAnsi" w:cstheme="minorBidi"/>
              <w:smallCaps w:val="0"/>
              <w:sz w:val="22"/>
              <w:szCs w:val="22"/>
              <w:lang w:eastAsia="en-GB"/>
            </w:rPr>
          </w:pPr>
          <w:hyperlink w:anchor="_Toc233100347" w:history="1">
            <w:r w:rsidR="004F3544" w:rsidRPr="006F2B59">
              <w:rPr>
                <w:rStyle w:val="Hyperlink"/>
              </w:rPr>
              <w:t>4.</w:t>
            </w:r>
            <w:r w:rsidR="004F3544">
              <w:rPr>
                <w:rFonts w:asciiTheme="minorHAnsi" w:eastAsiaTheme="minorEastAsia" w:hAnsiTheme="minorHAnsi" w:cstheme="minorBidi"/>
                <w:smallCaps w:val="0"/>
                <w:sz w:val="22"/>
                <w:szCs w:val="22"/>
                <w:lang w:eastAsia="en-GB"/>
              </w:rPr>
              <w:tab/>
            </w:r>
            <w:r w:rsidR="004F3544" w:rsidRPr="006F2B59">
              <w:rPr>
                <w:rStyle w:val="Hyperlink"/>
              </w:rPr>
              <w:t>Supportive Documents</w:t>
            </w:r>
            <w:r w:rsidR="004F3544">
              <w:rPr>
                <w:webHidden/>
              </w:rPr>
              <w:tab/>
            </w:r>
            <w:r w:rsidR="004F3544">
              <w:rPr>
                <w:webHidden/>
              </w:rPr>
              <w:fldChar w:fldCharType="begin"/>
            </w:r>
            <w:r w:rsidR="004F3544">
              <w:rPr>
                <w:webHidden/>
              </w:rPr>
              <w:instrText xml:space="preserve"> PAGEREF _Toc233100347 \h </w:instrText>
            </w:r>
            <w:r w:rsidR="004F3544">
              <w:rPr>
                <w:webHidden/>
              </w:rPr>
            </w:r>
            <w:r w:rsidR="004F3544">
              <w:rPr>
                <w:webHidden/>
              </w:rPr>
              <w:fldChar w:fldCharType="separate"/>
            </w:r>
            <w:r w:rsidR="004F3544">
              <w:rPr>
                <w:webHidden/>
              </w:rPr>
              <w:t>3</w:t>
            </w:r>
            <w:r w:rsidR="004F3544">
              <w:rPr>
                <w:webHidden/>
              </w:rPr>
              <w:fldChar w:fldCharType="end"/>
            </w:r>
          </w:hyperlink>
        </w:p>
        <w:p w14:paraId="40F08C1F" w14:textId="27F3934C" w:rsidR="004F3544" w:rsidRDefault="004A4A9F">
          <w:pPr>
            <w:pStyle w:val="Verzeichnis1"/>
            <w:rPr>
              <w:rFonts w:asciiTheme="minorHAnsi" w:eastAsiaTheme="minorEastAsia" w:hAnsiTheme="minorHAnsi" w:cstheme="minorBidi"/>
              <w:smallCaps w:val="0"/>
              <w:sz w:val="22"/>
              <w:szCs w:val="22"/>
              <w:lang w:eastAsia="en-GB"/>
            </w:rPr>
          </w:pPr>
          <w:hyperlink w:anchor="_Toc233100348" w:history="1">
            <w:r w:rsidR="004F3544" w:rsidRPr="006F2B59">
              <w:rPr>
                <w:rStyle w:val="Hyperlink"/>
              </w:rPr>
              <w:t>5.</w:t>
            </w:r>
            <w:r w:rsidR="004F3544">
              <w:rPr>
                <w:rFonts w:asciiTheme="minorHAnsi" w:eastAsiaTheme="minorEastAsia" w:hAnsiTheme="minorHAnsi" w:cstheme="minorBidi"/>
                <w:smallCaps w:val="0"/>
                <w:sz w:val="22"/>
                <w:szCs w:val="22"/>
                <w:lang w:eastAsia="en-GB"/>
              </w:rPr>
              <w:tab/>
            </w:r>
            <w:r w:rsidR="004F3544" w:rsidRPr="006F2B59">
              <w:rPr>
                <w:rStyle w:val="Hyperlink"/>
              </w:rPr>
              <w:t>Definition of Roles and Activitys</w:t>
            </w:r>
            <w:r w:rsidR="004F3544">
              <w:rPr>
                <w:webHidden/>
              </w:rPr>
              <w:tab/>
            </w:r>
            <w:r w:rsidR="004F3544">
              <w:rPr>
                <w:webHidden/>
              </w:rPr>
              <w:fldChar w:fldCharType="begin"/>
            </w:r>
            <w:r w:rsidR="004F3544">
              <w:rPr>
                <w:webHidden/>
              </w:rPr>
              <w:instrText xml:space="preserve"> PAGEREF _Toc233100348 \h </w:instrText>
            </w:r>
            <w:r w:rsidR="004F3544">
              <w:rPr>
                <w:webHidden/>
              </w:rPr>
            </w:r>
            <w:r w:rsidR="004F3544">
              <w:rPr>
                <w:webHidden/>
              </w:rPr>
              <w:fldChar w:fldCharType="separate"/>
            </w:r>
            <w:r w:rsidR="004F3544">
              <w:rPr>
                <w:webHidden/>
              </w:rPr>
              <w:t>4</w:t>
            </w:r>
            <w:r w:rsidR="004F3544">
              <w:rPr>
                <w:webHidden/>
              </w:rPr>
              <w:fldChar w:fldCharType="end"/>
            </w:r>
          </w:hyperlink>
        </w:p>
        <w:p w14:paraId="673C4A51" w14:textId="3D9DBF6C" w:rsidR="004F3544" w:rsidRDefault="004A4A9F">
          <w:pPr>
            <w:pStyle w:val="Verzeichnis2"/>
            <w:tabs>
              <w:tab w:val="left" w:pos="1418"/>
            </w:tabs>
            <w:rPr>
              <w:rFonts w:asciiTheme="minorHAnsi" w:eastAsiaTheme="minorEastAsia" w:hAnsiTheme="minorHAnsi" w:cstheme="minorBidi"/>
              <w:smallCaps w:val="0"/>
              <w:szCs w:val="22"/>
              <w:lang w:eastAsia="en-GB"/>
            </w:rPr>
          </w:pPr>
          <w:hyperlink w:anchor="_Toc233100349" w:history="1">
            <w:r w:rsidR="004F3544" w:rsidRPr="006F2B59">
              <w:rPr>
                <w:rStyle w:val="Hyperlink"/>
                <w14:scene3d>
                  <w14:camera w14:prst="orthographicFront"/>
                  <w14:lightRig w14:rig="threePt" w14:dir="t">
                    <w14:rot w14:lat="0" w14:lon="0" w14:rev="0"/>
                  </w14:lightRig>
                </w14:scene3d>
              </w:rPr>
              <w:t>5.1.</w:t>
            </w:r>
            <w:r w:rsidR="004F3544">
              <w:rPr>
                <w:rFonts w:asciiTheme="minorHAnsi" w:eastAsiaTheme="minorEastAsia" w:hAnsiTheme="minorHAnsi" w:cstheme="minorBidi"/>
                <w:smallCaps w:val="0"/>
                <w:szCs w:val="22"/>
                <w:lang w:eastAsia="en-GB"/>
              </w:rPr>
              <w:tab/>
            </w:r>
            <w:r w:rsidR="004F3544" w:rsidRPr="006F2B59">
              <w:rPr>
                <w:rStyle w:val="Hyperlink"/>
              </w:rPr>
              <w:t>Definition of roles</w:t>
            </w:r>
            <w:r w:rsidR="004F3544">
              <w:rPr>
                <w:webHidden/>
              </w:rPr>
              <w:tab/>
            </w:r>
            <w:r w:rsidR="004F3544">
              <w:rPr>
                <w:webHidden/>
              </w:rPr>
              <w:fldChar w:fldCharType="begin"/>
            </w:r>
            <w:r w:rsidR="004F3544">
              <w:rPr>
                <w:webHidden/>
              </w:rPr>
              <w:instrText xml:space="preserve"> PAGEREF _Toc233100349 \h </w:instrText>
            </w:r>
            <w:r w:rsidR="004F3544">
              <w:rPr>
                <w:webHidden/>
              </w:rPr>
            </w:r>
            <w:r w:rsidR="004F3544">
              <w:rPr>
                <w:webHidden/>
              </w:rPr>
              <w:fldChar w:fldCharType="separate"/>
            </w:r>
            <w:r w:rsidR="004F3544">
              <w:rPr>
                <w:webHidden/>
              </w:rPr>
              <w:t>4</w:t>
            </w:r>
            <w:r w:rsidR="004F3544">
              <w:rPr>
                <w:webHidden/>
              </w:rPr>
              <w:fldChar w:fldCharType="end"/>
            </w:r>
          </w:hyperlink>
        </w:p>
        <w:p w14:paraId="0EFBE317" w14:textId="57B32EB7" w:rsidR="004F3544" w:rsidRDefault="004A4A9F">
          <w:pPr>
            <w:pStyle w:val="Verzeichnis2"/>
            <w:tabs>
              <w:tab w:val="left" w:pos="1418"/>
            </w:tabs>
            <w:rPr>
              <w:rFonts w:asciiTheme="minorHAnsi" w:eastAsiaTheme="minorEastAsia" w:hAnsiTheme="minorHAnsi" w:cstheme="minorBidi"/>
              <w:smallCaps w:val="0"/>
              <w:szCs w:val="22"/>
              <w:lang w:eastAsia="en-GB"/>
            </w:rPr>
          </w:pPr>
          <w:hyperlink w:anchor="_Toc233100350" w:history="1">
            <w:r w:rsidR="004F3544" w:rsidRPr="006F2B59">
              <w:rPr>
                <w:rStyle w:val="Hyperlink"/>
                <w14:scene3d>
                  <w14:camera w14:prst="orthographicFront"/>
                  <w14:lightRig w14:rig="threePt" w14:dir="t">
                    <w14:rot w14:lat="0" w14:lon="0" w14:rev="0"/>
                  </w14:lightRig>
                </w14:scene3d>
              </w:rPr>
              <w:t>5.2.</w:t>
            </w:r>
            <w:r w:rsidR="004F3544">
              <w:rPr>
                <w:rFonts w:asciiTheme="minorHAnsi" w:eastAsiaTheme="minorEastAsia" w:hAnsiTheme="minorHAnsi" w:cstheme="minorBidi"/>
                <w:smallCaps w:val="0"/>
                <w:szCs w:val="22"/>
                <w:lang w:eastAsia="en-GB"/>
              </w:rPr>
              <w:tab/>
            </w:r>
            <w:r w:rsidR="004F3544" w:rsidRPr="006F2B59">
              <w:rPr>
                <w:rStyle w:val="Hyperlink"/>
              </w:rPr>
              <w:t>Sequence of activities</w:t>
            </w:r>
            <w:r w:rsidR="004F3544">
              <w:rPr>
                <w:webHidden/>
              </w:rPr>
              <w:tab/>
            </w:r>
            <w:r w:rsidR="004F3544">
              <w:rPr>
                <w:webHidden/>
              </w:rPr>
              <w:fldChar w:fldCharType="begin"/>
            </w:r>
            <w:r w:rsidR="004F3544">
              <w:rPr>
                <w:webHidden/>
              </w:rPr>
              <w:instrText xml:space="preserve"> PAGEREF _Toc233100350 \h </w:instrText>
            </w:r>
            <w:r w:rsidR="004F3544">
              <w:rPr>
                <w:webHidden/>
              </w:rPr>
            </w:r>
            <w:r w:rsidR="004F3544">
              <w:rPr>
                <w:webHidden/>
              </w:rPr>
              <w:fldChar w:fldCharType="separate"/>
            </w:r>
            <w:r w:rsidR="004F3544">
              <w:rPr>
                <w:webHidden/>
              </w:rPr>
              <w:t>4</w:t>
            </w:r>
            <w:r w:rsidR="004F3544">
              <w:rPr>
                <w:webHidden/>
              </w:rPr>
              <w:fldChar w:fldCharType="end"/>
            </w:r>
          </w:hyperlink>
        </w:p>
        <w:p w14:paraId="138C39C5" w14:textId="04B637C8" w:rsidR="00C637A0" w:rsidRPr="007336CE" w:rsidRDefault="00C637A0">
          <w:r w:rsidRPr="007336CE">
            <w:rPr>
              <w:rFonts w:cs="Calibri"/>
              <w:b/>
              <w:bCs/>
              <w:szCs w:val="22"/>
            </w:rPr>
            <w:fldChar w:fldCharType="end"/>
          </w:r>
        </w:p>
      </w:sdtContent>
    </w:sdt>
    <w:p w14:paraId="136BFB72" w14:textId="77777777" w:rsidR="00616CB4" w:rsidRPr="007336CE" w:rsidRDefault="00616CB4">
      <w:pPr>
        <w:rPr>
          <w:rFonts w:cs="Calibri"/>
        </w:rPr>
      </w:pPr>
      <w:r w:rsidRPr="007336CE">
        <w:rPr>
          <w:rFonts w:cs="Calibri"/>
        </w:rPr>
        <w:br w:type="page"/>
      </w:r>
    </w:p>
    <w:p w14:paraId="309A11F7" w14:textId="77777777" w:rsidR="00902577" w:rsidRPr="007336CE" w:rsidRDefault="00C637A0" w:rsidP="002E535D">
      <w:pPr>
        <w:pStyle w:val="berschrift1"/>
        <w:rPr>
          <w:color w:val="244061" w:themeColor="accent1" w:themeShade="80"/>
          <w:sz w:val="22"/>
        </w:rPr>
      </w:pPr>
      <w:bookmarkStart w:id="1" w:name="_Toc176792734"/>
      <w:bookmarkStart w:id="2" w:name="_Toc233100344"/>
      <w:r w:rsidRPr="007336CE">
        <w:lastRenderedPageBreak/>
        <w:t>Purpose</w:t>
      </w:r>
      <w:bookmarkEnd w:id="1"/>
      <w:bookmarkEnd w:id="2"/>
    </w:p>
    <w:p w14:paraId="39AFCD31" w14:textId="5083D8EB" w:rsidR="004F3544" w:rsidRPr="004F3544" w:rsidRDefault="004F3544" w:rsidP="004F3544">
      <w:pPr>
        <w:spacing w:before="100" w:beforeAutospacing="1" w:after="100" w:afterAutospacing="1"/>
        <w:rPr>
          <w:rFonts w:cs="Calibri"/>
          <w:szCs w:val="22"/>
          <w:lang w:eastAsia="en-GB"/>
        </w:rPr>
      </w:pPr>
      <w:r w:rsidRPr="004F3544">
        <w:rPr>
          <w:rFonts w:cs="Calibri"/>
          <w:szCs w:val="22"/>
          <w:lang w:eastAsia="en-GB"/>
        </w:rPr>
        <w:t xml:space="preserve">This document describes the standardized process followed by </w:t>
      </w:r>
      <w:r w:rsidRPr="004F3544">
        <w:rPr>
          <w:rFonts w:cs="Calibri"/>
          <w:bCs/>
          <w:szCs w:val="22"/>
          <w:lang w:eastAsia="en-GB"/>
        </w:rPr>
        <w:t xml:space="preserve">ADLINK </w:t>
      </w:r>
      <w:r w:rsidRPr="004F3544">
        <w:rPr>
          <w:rFonts w:cs="Calibri"/>
          <w:szCs w:val="22"/>
          <w:lang w:eastAsia="en-GB"/>
        </w:rPr>
        <w:t>when a CRA notification is received from a customer. The purpose of this process is to ensure a consistent, transparent, and efficient approach to the intake, assessment, handling, communication, and closure of customer-submitted CRA-related notifications.</w:t>
      </w:r>
    </w:p>
    <w:p w14:paraId="285FB4D5" w14:textId="77777777" w:rsidR="004F3544" w:rsidRPr="004F3544" w:rsidRDefault="004F3544" w:rsidP="004F3544">
      <w:pPr>
        <w:spacing w:before="100" w:beforeAutospacing="1" w:after="100" w:afterAutospacing="1"/>
        <w:rPr>
          <w:rFonts w:cs="Calibri"/>
          <w:szCs w:val="22"/>
          <w:lang w:eastAsia="en-GB"/>
        </w:rPr>
      </w:pPr>
      <w:r w:rsidRPr="004F3544">
        <w:rPr>
          <w:rFonts w:cs="Calibri"/>
          <w:szCs w:val="22"/>
          <w:lang w:eastAsia="en-GB"/>
        </w:rPr>
        <w:t>The process establishes a framework for the timely evaluation of incoming notifications, the assignment of responsibilities, and the implementation of appropriate actions to assess and mitigate potential risks. It also ensures effective communication with customers and the proper documentation of all activities and decisions throughout the lifecycle of the notification.</w:t>
      </w:r>
    </w:p>
    <w:p w14:paraId="7AA915A9" w14:textId="77777777" w:rsidR="004F3544" w:rsidRPr="004F3544" w:rsidRDefault="004F3544" w:rsidP="004F3544">
      <w:pPr>
        <w:spacing w:before="100" w:beforeAutospacing="1" w:after="100" w:afterAutospacing="1"/>
        <w:rPr>
          <w:rFonts w:cs="Calibri"/>
          <w:szCs w:val="22"/>
          <w:lang w:eastAsia="en-GB"/>
        </w:rPr>
      </w:pPr>
      <w:r w:rsidRPr="004F3544">
        <w:rPr>
          <w:rFonts w:cs="Calibri"/>
          <w:szCs w:val="22"/>
          <w:lang w:eastAsia="en-GB"/>
        </w:rPr>
        <w:t>The objectives of this process are to:</w:t>
      </w:r>
    </w:p>
    <w:p w14:paraId="43B0DCC5" w14:textId="77777777" w:rsidR="004F3544" w:rsidRPr="004F3544" w:rsidRDefault="004F3544" w:rsidP="004F3544">
      <w:pPr>
        <w:numPr>
          <w:ilvl w:val="0"/>
          <w:numId w:val="22"/>
        </w:numPr>
        <w:spacing w:before="100" w:beforeAutospacing="1" w:after="100" w:afterAutospacing="1"/>
        <w:rPr>
          <w:rFonts w:cs="Calibri"/>
          <w:szCs w:val="22"/>
          <w:lang w:eastAsia="en-GB"/>
        </w:rPr>
      </w:pPr>
      <w:r w:rsidRPr="004F3544">
        <w:rPr>
          <w:rFonts w:cs="Calibri"/>
          <w:szCs w:val="22"/>
          <w:lang w:eastAsia="en-GB"/>
        </w:rPr>
        <w:t xml:space="preserve">Ensure consistent and timely handling of CRA notifications. </w:t>
      </w:r>
    </w:p>
    <w:p w14:paraId="73124C74" w14:textId="77777777" w:rsidR="004F3544" w:rsidRPr="004F3544" w:rsidRDefault="004F3544" w:rsidP="004F3544">
      <w:pPr>
        <w:numPr>
          <w:ilvl w:val="0"/>
          <w:numId w:val="22"/>
        </w:numPr>
        <w:spacing w:before="100" w:beforeAutospacing="1" w:after="100" w:afterAutospacing="1"/>
        <w:rPr>
          <w:rFonts w:cs="Calibri"/>
          <w:szCs w:val="22"/>
          <w:lang w:eastAsia="en-GB"/>
        </w:rPr>
      </w:pPr>
      <w:r w:rsidRPr="004F3544">
        <w:rPr>
          <w:rFonts w:cs="Calibri"/>
          <w:szCs w:val="22"/>
          <w:lang w:eastAsia="en-GB"/>
        </w:rPr>
        <w:t xml:space="preserve">Comply with applicable regulatory, contractual, and internal requirements. </w:t>
      </w:r>
    </w:p>
    <w:p w14:paraId="200BE4A5" w14:textId="77777777" w:rsidR="004F3544" w:rsidRPr="004F3544" w:rsidRDefault="004F3544" w:rsidP="004F3544">
      <w:pPr>
        <w:numPr>
          <w:ilvl w:val="0"/>
          <w:numId w:val="22"/>
        </w:numPr>
        <w:spacing w:before="100" w:beforeAutospacing="1" w:after="100" w:afterAutospacing="1"/>
        <w:rPr>
          <w:rFonts w:cs="Calibri"/>
          <w:szCs w:val="22"/>
          <w:lang w:eastAsia="en-GB"/>
        </w:rPr>
      </w:pPr>
      <w:r w:rsidRPr="004F3544">
        <w:rPr>
          <w:rFonts w:cs="Calibri"/>
          <w:szCs w:val="22"/>
          <w:lang w:eastAsia="en-GB"/>
        </w:rPr>
        <w:t xml:space="preserve">Minimize security, compliance, operational, and business risks. </w:t>
      </w:r>
    </w:p>
    <w:p w14:paraId="034F5401" w14:textId="77777777" w:rsidR="004F3544" w:rsidRPr="004F3544" w:rsidRDefault="004F3544" w:rsidP="004F3544">
      <w:pPr>
        <w:numPr>
          <w:ilvl w:val="0"/>
          <w:numId w:val="22"/>
        </w:numPr>
        <w:spacing w:before="100" w:beforeAutospacing="1" w:after="100" w:afterAutospacing="1"/>
        <w:rPr>
          <w:rFonts w:cs="Calibri"/>
          <w:szCs w:val="22"/>
          <w:lang w:eastAsia="en-GB"/>
        </w:rPr>
      </w:pPr>
      <w:r w:rsidRPr="004F3544">
        <w:rPr>
          <w:rFonts w:cs="Calibri"/>
          <w:szCs w:val="22"/>
          <w:lang w:eastAsia="en-GB"/>
        </w:rPr>
        <w:t xml:space="preserve">Clearly define roles, responsibilities, and escalation paths. </w:t>
      </w:r>
    </w:p>
    <w:p w14:paraId="15565779" w14:textId="77777777" w:rsidR="004F3544" w:rsidRPr="004F3544" w:rsidRDefault="004F3544" w:rsidP="004F3544">
      <w:pPr>
        <w:numPr>
          <w:ilvl w:val="0"/>
          <w:numId w:val="22"/>
        </w:numPr>
        <w:spacing w:before="100" w:beforeAutospacing="1" w:after="100" w:afterAutospacing="1"/>
        <w:rPr>
          <w:rFonts w:cs="Calibri"/>
          <w:szCs w:val="22"/>
          <w:lang w:eastAsia="en-GB"/>
        </w:rPr>
      </w:pPr>
      <w:r w:rsidRPr="004F3544">
        <w:rPr>
          <w:rFonts w:cs="Calibri"/>
          <w:szCs w:val="22"/>
          <w:lang w:eastAsia="en-GB"/>
        </w:rPr>
        <w:t xml:space="preserve">Maintain complete and auditable records of all actions and decisions. </w:t>
      </w:r>
    </w:p>
    <w:p w14:paraId="2C667DC6" w14:textId="77777777" w:rsidR="004F3544" w:rsidRPr="004F3544" w:rsidRDefault="004F3544" w:rsidP="004F3544">
      <w:pPr>
        <w:numPr>
          <w:ilvl w:val="0"/>
          <w:numId w:val="22"/>
        </w:numPr>
        <w:spacing w:before="100" w:beforeAutospacing="1" w:after="100" w:afterAutospacing="1"/>
        <w:rPr>
          <w:rFonts w:cs="Calibri"/>
          <w:szCs w:val="22"/>
          <w:lang w:eastAsia="en-GB"/>
        </w:rPr>
      </w:pPr>
      <w:r w:rsidRPr="004F3544">
        <w:rPr>
          <w:rFonts w:cs="Calibri"/>
          <w:szCs w:val="22"/>
          <w:lang w:eastAsia="en-GB"/>
        </w:rPr>
        <w:t xml:space="preserve">Support continuous improvement of products, services, and internal processes through lessons learned from CRA notifications. </w:t>
      </w:r>
    </w:p>
    <w:p w14:paraId="1E1701CC" w14:textId="6309764C" w:rsidR="0014592D" w:rsidRPr="007336CE" w:rsidRDefault="004F3544" w:rsidP="004F3544">
      <w:pPr>
        <w:spacing w:before="100" w:beforeAutospacing="1" w:after="100" w:afterAutospacing="1"/>
        <w:rPr>
          <w:rFonts w:cs="Calibri"/>
          <w:szCs w:val="22"/>
        </w:rPr>
      </w:pPr>
      <w:r w:rsidRPr="004F3544">
        <w:rPr>
          <w:rFonts w:cs="Calibri"/>
          <w:szCs w:val="22"/>
          <w:lang w:eastAsia="en-GB"/>
        </w:rPr>
        <w:t>This document serves as the authoritative reference for all employees and organizational units involved in the receipt, assessment, investigation, resolution, and closure of customer-submitted CRA notifications.</w:t>
      </w:r>
    </w:p>
    <w:p>
      <w:r>
        <w:t>Beyond the handling of incoming CRA notifications, this document consolidates the regulatory background: key dates, definitions, manufacturer obligations before and during the support period, reporting duties, ADLINK positions and the business scenarios deciding who acts as manufacturer (sections 5–14 and 16). Where referenced documents conflict, the text of Regulation (EU) 2024/2847 prevails.</w:t>
      </w:r>
    </w:p>
    <w:p w14:paraId="11E93041" w14:textId="77777777" w:rsidR="00C529F5" w:rsidRPr="00627D6D" w:rsidRDefault="00DB7158" w:rsidP="002E535D">
      <w:pPr>
        <w:pStyle w:val="berschrift1"/>
      </w:pPr>
      <w:bookmarkStart w:id="3" w:name="_Toc233100345"/>
      <w:r w:rsidRPr="009B1C85">
        <w:t>Scope</w:t>
      </w:r>
      <w:bookmarkEnd w:id="3"/>
    </w:p>
    <w:p w14:paraId="4DEEB343" w14:textId="56BB5EBC" w:rsidR="000E7262" w:rsidRDefault="006D31CB" w:rsidP="00777168">
      <w:pPr>
        <w:ind w:left="426"/>
        <w:rPr>
          <w:rFonts w:cs="Calibri"/>
        </w:rPr>
      </w:pPr>
      <w:bookmarkStart w:id="4" w:name="_Hlk182901826"/>
      <w:r w:rsidRPr="007336CE">
        <w:rPr>
          <w:rFonts w:cs="Calibri"/>
        </w:rPr>
        <w:t>The work instruction is applicable for the following functions/departments:</w:t>
      </w:r>
      <w:bookmarkEnd w:id="4"/>
    </w:p>
    <w:p w14:paraId="6D2E47A2" w14:textId="77777777" w:rsidR="008F3816" w:rsidRDefault="008F3816" w:rsidP="00777168">
      <w:pPr>
        <w:ind w:left="426"/>
        <w:rPr>
          <w:rFonts w:cs="Calibri"/>
        </w:rPr>
      </w:pPr>
    </w:p>
    <w:tbl>
      <w:tblPr>
        <w:tblStyle w:val="Tabellenraster"/>
        <w:tblW w:w="9497" w:type="dxa"/>
        <w:tblInd w:w="421" w:type="dxa"/>
        <w:tblLayout w:type="fixed"/>
        <w:tblLook w:val="04A0" w:firstRow="1" w:lastRow="0" w:firstColumn="1" w:lastColumn="0" w:noHBand="0" w:noVBand="1"/>
      </w:tblPr>
      <w:tblGrid>
        <w:gridCol w:w="2693"/>
        <w:gridCol w:w="6804"/>
      </w:tblGrid>
      <w:tr w:rsidR="000E7262" w:rsidRPr="007336CE" w14:paraId="6911B472" w14:textId="77777777" w:rsidTr="005A134D">
        <w:trPr>
          <w:tblHeader/>
        </w:trPr>
        <w:tc>
          <w:tcPr>
            <w:tcW w:w="2693" w:type="dxa"/>
            <w:shd w:val="clear" w:color="auto" w:fill="BFBFBF" w:themeFill="background1" w:themeFillShade="BF"/>
          </w:tcPr>
          <w:p w14:paraId="595FF059" w14:textId="45DD0A2F" w:rsidR="000E7262" w:rsidRPr="00777168" w:rsidRDefault="000E7262" w:rsidP="00777168">
            <w:pPr>
              <w:pStyle w:val="StdTabelle"/>
              <w:keepNext/>
              <w:spacing w:before="40" w:after="40"/>
              <w:rPr>
                <w:rFonts w:cs="Calibri"/>
                <w:b/>
                <w:bCs/>
              </w:rPr>
            </w:pPr>
            <w:r w:rsidRPr="00777168">
              <w:rPr>
                <w:rFonts w:cs="Calibri"/>
                <w:b/>
                <w:bCs/>
              </w:rPr>
              <w:t>Area</w:t>
            </w:r>
          </w:p>
        </w:tc>
        <w:tc>
          <w:tcPr>
            <w:tcW w:w="6804" w:type="dxa"/>
            <w:shd w:val="clear" w:color="auto" w:fill="BFBFBF" w:themeFill="background1" w:themeFillShade="BF"/>
          </w:tcPr>
          <w:p w14:paraId="50946C75" w14:textId="4D57B5E5" w:rsidR="000E7262" w:rsidRPr="00777168" w:rsidRDefault="000E7262" w:rsidP="00777168">
            <w:pPr>
              <w:pStyle w:val="StdTabelle"/>
              <w:keepNext/>
              <w:spacing w:before="40" w:after="40"/>
              <w:rPr>
                <w:rFonts w:cs="Calibri"/>
                <w:b/>
                <w:bCs/>
              </w:rPr>
            </w:pPr>
            <w:r w:rsidRPr="00777168">
              <w:rPr>
                <w:rFonts w:cs="Calibri"/>
                <w:b/>
                <w:bCs/>
              </w:rPr>
              <w:t>Description</w:t>
            </w:r>
          </w:p>
        </w:tc>
      </w:tr>
      <w:tr w:rsidR="000E7262" w:rsidRPr="007336CE" w14:paraId="16B27F23" w14:textId="77777777" w:rsidTr="005A134D">
        <w:trPr>
          <w:tblHeader/>
        </w:trPr>
        <w:tc>
          <w:tcPr>
            <w:tcW w:w="2693" w:type="dxa"/>
            <w:shd w:val="clear" w:color="auto" w:fill="auto"/>
          </w:tcPr>
          <w:p w14:paraId="6744617D" w14:textId="5404950C" w:rsidR="004A0DA3" w:rsidRPr="005A134D" w:rsidRDefault="00777168" w:rsidP="005A134D">
            <w:pPr>
              <w:rPr>
                <w:rFonts w:cs="Calibri"/>
              </w:rPr>
            </w:pPr>
            <w:r>
              <w:rPr>
                <w:rFonts w:cs="Calibri"/>
              </w:rPr>
              <w:t>ADLINK Technology GmbH</w:t>
            </w:r>
          </w:p>
        </w:tc>
        <w:tc>
          <w:tcPr>
            <w:tcW w:w="6804" w:type="dxa"/>
            <w:shd w:val="clear" w:color="auto" w:fill="auto"/>
          </w:tcPr>
          <w:p w14:paraId="455CDDB7" w14:textId="10D97AC7" w:rsidR="004A0DA3" w:rsidRPr="007336CE" w:rsidRDefault="004A0DA3" w:rsidP="00396612">
            <w:pPr>
              <w:rPr>
                <w:rFonts w:cs="Calibri"/>
              </w:rPr>
            </w:pPr>
          </w:p>
        </w:tc>
      </w:tr>
      <w:tr w:rsidR="000348C8" w:rsidRPr="007336CE" w14:paraId="77D46C67" w14:textId="77777777" w:rsidTr="005A134D">
        <w:trPr>
          <w:tblHeader/>
        </w:trPr>
        <w:tc>
          <w:tcPr>
            <w:tcW w:w="2693" w:type="dxa"/>
            <w:shd w:val="clear" w:color="auto" w:fill="auto"/>
          </w:tcPr>
          <w:p w14:paraId="58C42A65" w14:textId="7A0C1B54" w:rsidR="000348C8" w:rsidRPr="007336CE" w:rsidRDefault="000348C8" w:rsidP="000348C8">
            <w:pPr>
              <w:rPr>
                <w:rFonts w:cs="Calibri"/>
              </w:rPr>
            </w:pPr>
          </w:p>
        </w:tc>
        <w:tc>
          <w:tcPr>
            <w:tcW w:w="6804" w:type="dxa"/>
            <w:shd w:val="clear" w:color="auto" w:fill="auto"/>
          </w:tcPr>
          <w:p w14:paraId="789B45DF" w14:textId="3519BAF7" w:rsidR="000348C8" w:rsidRPr="007336CE" w:rsidRDefault="000348C8" w:rsidP="000348C8">
            <w:pPr>
              <w:rPr>
                <w:rFonts w:cs="Calibri"/>
              </w:rPr>
            </w:pPr>
          </w:p>
        </w:tc>
      </w:tr>
      <w:tr w:rsidR="000348C8" w:rsidRPr="007336CE" w14:paraId="67547C37" w14:textId="77777777" w:rsidTr="005A134D">
        <w:trPr>
          <w:tblHeader/>
        </w:trPr>
        <w:tc>
          <w:tcPr>
            <w:tcW w:w="2693" w:type="dxa"/>
            <w:shd w:val="clear" w:color="auto" w:fill="auto"/>
          </w:tcPr>
          <w:p w14:paraId="25376DCD" w14:textId="2CCB9B65" w:rsidR="000348C8" w:rsidRDefault="000348C8" w:rsidP="000348C8">
            <w:pPr>
              <w:rPr>
                <w:rFonts w:cs="Calibri"/>
              </w:rPr>
            </w:pPr>
          </w:p>
        </w:tc>
        <w:tc>
          <w:tcPr>
            <w:tcW w:w="6804" w:type="dxa"/>
            <w:shd w:val="clear" w:color="auto" w:fill="auto"/>
          </w:tcPr>
          <w:p w14:paraId="5A7C22EB" w14:textId="5FE9F0E6" w:rsidR="000348C8" w:rsidRDefault="000348C8" w:rsidP="000348C8">
            <w:pPr>
              <w:rPr>
                <w:rFonts w:cs="Calibri"/>
              </w:rPr>
            </w:pPr>
          </w:p>
        </w:tc>
      </w:tr>
    </w:tbl>
    <w:p w14:paraId="31D3F733" w14:textId="77777777" w:rsidR="00777168" w:rsidRDefault="00777168" w:rsidP="00777168">
      <w:pPr>
        <w:ind w:left="426"/>
        <w:rPr>
          <w:rFonts w:cs="Calibri"/>
        </w:rPr>
      </w:pPr>
    </w:p>
    <w:p w14:paraId="6BD065C2" w14:textId="0A34C047" w:rsidR="000E7262" w:rsidRDefault="000E7262" w:rsidP="008F3816">
      <w:pPr>
        <w:ind w:left="425"/>
        <w:rPr>
          <w:rFonts w:cs="Calibri"/>
        </w:rPr>
      </w:pPr>
      <w:r w:rsidRPr="007336CE">
        <w:rPr>
          <w:rFonts w:cs="Calibri"/>
        </w:rPr>
        <w:t>Valid for product</w:t>
      </w:r>
      <w:r w:rsidR="00777168">
        <w:rPr>
          <w:rFonts w:cs="Calibri"/>
        </w:rPr>
        <w:t>(s)</w:t>
      </w:r>
      <w:r w:rsidRPr="007336CE">
        <w:rPr>
          <w:rFonts w:cs="Calibri"/>
        </w:rPr>
        <w:t>:</w:t>
      </w:r>
    </w:p>
    <w:p w14:paraId="24C117B8" w14:textId="77777777" w:rsidR="008F3816" w:rsidRPr="00777168" w:rsidRDefault="008F3816" w:rsidP="008F3816">
      <w:pPr>
        <w:ind w:left="425"/>
        <w:rPr>
          <w:rFonts w:cs="Calibri"/>
        </w:rPr>
      </w:pPr>
    </w:p>
    <w:tbl>
      <w:tblPr>
        <w:tblStyle w:val="Tabellenraster"/>
        <w:tblW w:w="9497" w:type="dxa"/>
        <w:tblInd w:w="421" w:type="dxa"/>
        <w:shd w:val="clear" w:color="auto" w:fill="F2F2F2" w:themeFill="background1" w:themeFillShade="F2"/>
        <w:tblLook w:val="04A0" w:firstRow="1" w:lastRow="0" w:firstColumn="1" w:lastColumn="0" w:noHBand="0" w:noVBand="1"/>
      </w:tblPr>
      <w:tblGrid>
        <w:gridCol w:w="2409"/>
        <w:gridCol w:w="7088"/>
      </w:tblGrid>
      <w:tr w:rsidR="005342BB" w:rsidRPr="007336CE" w14:paraId="7F0A7DA1" w14:textId="77777777" w:rsidTr="001A675F">
        <w:trPr>
          <w:tblHeader/>
        </w:trPr>
        <w:tc>
          <w:tcPr>
            <w:tcW w:w="2409" w:type="dxa"/>
            <w:shd w:val="clear" w:color="auto" w:fill="BFBFBF" w:themeFill="background1" w:themeFillShade="BF"/>
          </w:tcPr>
          <w:p w14:paraId="623AF51F" w14:textId="54F4A9E9" w:rsidR="005342BB" w:rsidRPr="007336CE" w:rsidRDefault="005342BB" w:rsidP="000E7262">
            <w:pPr>
              <w:pStyle w:val="StdTabelle"/>
              <w:keepNext/>
              <w:spacing w:before="40" w:after="40"/>
              <w:rPr>
                <w:rFonts w:cs="Calibri"/>
                <w:b/>
                <w:bCs/>
                <w:sz w:val="22"/>
                <w:szCs w:val="22"/>
              </w:rPr>
            </w:pPr>
            <w:r w:rsidRPr="007336CE">
              <w:rPr>
                <w:rFonts w:cs="Calibri"/>
                <w:b/>
                <w:bCs/>
              </w:rPr>
              <w:t>AP</w:t>
            </w:r>
            <w:r w:rsidR="00E91C07">
              <w:rPr>
                <w:rFonts w:cs="Calibri"/>
                <w:b/>
                <w:bCs/>
              </w:rPr>
              <w:t>/</w:t>
            </w:r>
            <w:r w:rsidRPr="007336CE">
              <w:rPr>
                <w:rFonts w:cs="Calibri"/>
                <w:b/>
                <w:bCs/>
              </w:rPr>
              <w:t>N</w:t>
            </w:r>
          </w:p>
        </w:tc>
        <w:tc>
          <w:tcPr>
            <w:tcW w:w="7088" w:type="dxa"/>
            <w:shd w:val="clear" w:color="auto" w:fill="BFBFBF" w:themeFill="background1" w:themeFillShade="BF"/>
          </w:tcPr>
          <w:p w14:paraId="0ADA981E" w14:textId="77777777" w:rsidR="005342BB" w:rsidRPr="007336CE" w:rsidRDefault="005342BB" w:rsidP="000E7262">
            <w:pPr>
              <w:pStyle w:val="StdTabelle"/>
              <w:keepNext/>
              <w:spacing w:before="40" w:after="40"/>
              <w:rPr>
                <w:rFonts w:cs="Calibri"/>
                <w:b/>
                <w:bCs/>
                <w:sz w:val="22"/>
                <w:szCs w:val="22"/>
              </w:rPr>
            </w:pPr>
            <w:r w:rsidRPr="007336CE">
              <w:rPr>
                <w:rFonts w:cs="Calibri"/>
                <w:b/>
                <w:bCs/>
              </w:rPr>
              <w:t>Description</w:t>
            </w:r>
          </w:p>
        </w:tc>
      </w:tr>
      <w:tr w:rsidR="005342BB" w:rsidRPr="007336CE" w14:paraId="33E06C91" w14:textId="77777777" w:rsidTr="002254BD">
        <w:tblPrEx>
          <w:shd w:val="clear" w:color="auto" w:fill="auto"/>
        </w:tblPrEx>
        <w:tc>
          <w:tcPr>
            <w:tcW w:w="2409" w:type="dxa"/>
            <w:vAlign w:val="center"/>
          </w:tcPr>
          <w:p w14:paraId="5F318F7E" w14:textId="2A889F4E" w:rsidR="005342BB" w:rsidRPr="007336CE" w:rsidRDefault="005342BB" w:rsidP="0072579E">
            <w:pPr>
              <w:rPr>
                <w:rFonts w:cs="Calibri"/>
              </w:rPr>
            </w:pPr>
          </w:p>
        </w:tc>
        <w:tc>
          <w:tcPr>
            <w:tcW w:w="7088" w:type="dxa"/>
            <w:vAlign w:val="center"/>
          </w:tcPr>
          <w:p w14:paraId="0B5AC266" w14:textId="2ABA4EAB" w:rsidR="005342BB" w:rsidRDefault="005A134D" w:rsidP="0072579E">
            <w:pPr>
              <w:spacing w:before="40" w:after="40"/>
              <w:rPr>
                <w:rFonts w:cs="Calibri"/>
              </w:rPr>
            </w:pPr>
            <w:r>
              <w:rPr>
                <w:rFonts w:cs="Calibri"/>
              </w:rPr>
              <w:t>All products of ADLINK</w:t>
            </w:r>
          </w:p>
        </w:tc>
      </w:tr>
    </w:tbl>
    <w:p>
      <w:pPr>
        <w:pStyle w:val="berschrift2"/>
      </w:pPr>
      <w:r>
        <w:t>🎯 Why this concerns us</w:t>
      </w:r>
    </w:p>
    <w:p>
      <w:pPr>
        <w:pStyle w:val="Zitat"/>
      </w:pPr>
      <w:r>
        <w:rPr>
          <w:b/>
        </w:rPr>
        <w:t>Art 3(1):</w:t>
      </w:r>
      <w:r>
        <w:t xml:space="preserve"> "'product with digital elements' means a software or hardware product and its remote data processing solutions, </w:t>
      </w:r>
      <w:r>
        <w:rPr>
          <w:b/>
        </w:rPr>
        <w:t>including software or hardware components being placed on the market separately</w:t>
      </w:r>
      <w:r>
        <w:t>"</w:t>
      </w:r>
    </w:p>
    <w:p>
      <w:r>
        <w:t xml:space="preserve">The EU FAQ (§1.2) explicitly names </w:t>
      </w:r>
      <w:r>
        <w:rPr>
          <w:b/>
        </w:rPr>
        <w:t>motherboards, integrated circuits, sensors</w:t>
      </w:r>
      <w:r>
        <w:t xml:space="preserve"> as in-scope. ADLINK position (ATGD analysis §4.1): </w:t>
      </w:r>
      <w:r>
        <w:rPr>
          <w:b/>
        </w:rPr>
        <w:t>every ADLINK product is in scope</w:t>
      </w:r>
      <w:r>
        <w:t xml:space="preserve"> — each board, module, BIOS or firmware sold separately is its own "product with digital elements" with its own manufacturer obligations. There is </w:t>
      </w:r>
      <w:r>
        <w:rPr>
          <w:b/>
        </w:rPr>
        <w:t>no B2B or industrial exemption</w:t>
      </w:r>
      <w:r>
        <w:t>.</w:t>
      </w:r>
    </w:p>
    <w:p w14:paraId="4B7937AB" w14:textId="250A6234" w:rsidR="00E20B5B" w:rsidRPr="007336CE" w:rsidRDefault="00DB7158" w:rsidP="002E535D">
      <w:pPr>
        <w:pStyle w:val="berschrift1"/>
        <w:rPr>
          <w:color w:val="244061" w:themeColor="accent1" w:themeShade="80"/>
        </w:rPr>
      </w:pPr>
      <w:bookmarkStart w:id="5" w:name="_Toc233100346"/>
      <w:bookmarkStart w:id="6" w:name="_Hlk175562104"/>
      <w:r w:rsidRPr="007336CE">
        <w:t>Abbreviations and definitions</w:t>
      </w:r>
      <w:bookmarkEnd w:id="5"/>
    </w:p>
    <w:tbl>
      <w:tblPr>
        <w:tblStyle w:val="Tabellenraster"/>
        <w:tblW w:w="9497" w:type="dxa"/>
        <w:tblInd w:w="421" w:type="dxa"/>
        <w:shd w:val="clear" w:color="auto" w:fill="F2F2F2" w:themeFill="background1" w:themeFillShade="F2"/>
        <w:tblLook w:val="04A0" w:firstRow="1" w:lastRow="0" w:firstColumn="1" w:lastColumn="0" w:noHBand="0" w:noVBand="1"/>
      </w:tblPr>
      <w:tblGrid>
        <w:gridCol w:w="2409"/>
        <w:gridCol w:w="7088"/>
      </w:tblGrid>
      <w:tr w:rsidR="00777168" w:rsidRPr="00E43D7D" w14:paraId="7C825F22" w14:textId="77777777" w:rsidTr="001A675F">
        <w:trPr>
          <w:tblHeader/>
        </w:trPr>
        <w:tc>
          <w:tcPr>
            <w:tcW w:w="2409" w:type="dxa"/>
            <w:shd w:val="clear" w:color="auto" w:fill="BFBFBF" w:themeFill="background1" w:themeFillShade="BF"/>
          </w:tcPr>
          <w:p w14:paraId="33AF5A2B" w14:textId="77777777" w:rsidR="00777168" w:rsidRPr="00E43D7D" w:rsidRDefault="00777168" w:rsidP="00436EC8">
            <w:pPr>
              <w:pStyle w:val="StdTabelle"/>
              <w:keepNext/>
              <w:spacing w:before="40" w:after="40"/>
              <w:rPr>
                <w:rFonts w:cs="Calibri"/>
                <w:b/>
                <w:bCs/>
                <w:sz w:val="22"/>
                <w:szCs w:val="22"/>
              </w:rPr>
            </w:pPr>
            <w:r w:rsidRPr="00E43D7D">
              <w:rPr>
                <w:rFonts w:cs="Calibri"/>
                <w:b/>
                <w:bCs/>
                <w:sz w:val="22"/>
                <w:szCs w:val="22"/>
              </w:rPr>
              <w:t>Abbreviations</w:t>
            </w:r>
          </w:p>
        </w:tc>
        <w:tc>
          <w:tcPr>
            <w:tcW w:w="7088" w:type="dxa"/>
            <w:shd w:val="clear" w:color="auto" w:fill="BFBFBF" w:themeFill="background1" w:themeFillShade="BF"/>
          </w:tcPr>
          <w:p w14:paraId="6922F0F2" w14:textId="77777777" w:rsidR="00777168" w:rsidRPr="00E43D7D" w:rsidRDefault="00777168" w:rsidP="00436EC8">
            <w:pPr>
              <w:pStyle w:val="StdTabelle"/>
              <w:keepNext/>
              <w:spacing w:before="40" w:after="40"/>
              <w:rPr>
                <w:rFonts w:cs="Calibri"/>
                <w:b/>
                <w:bCs/>
                <w:sz w:val="22"/>
                <w:szCs w:val="22"/>
              </w:rPr>
            </w:pPr>
            <w:r w:rsidRPr="00E43D7D">
              <w:rPr>
                <w:rFonts w:cs="Calibri"/>
                <w:b/>
                <w:bCs/>
                <w:sz w:val="22"/>
                <w:szCs w:val="22"/>
              </w:rPr>
              <w:t>Definitions</w:t>
            </w:r>
          </w:p>
        </w:tc>
      </w:tr>
      <w:tr w:rsidR="00777168" w:rsidRPr="00E43D7D" w14:paraId="30B8F727" w14:textId="77777777" w:rsidTr="000E7262">
        <w:tblPrEx>
          <w:shd w:val="clear" w:color="auto" w:fill="auto"/>
        </w:tblPrEx>
        <w:tc>
          <w:tcPr>
            <w:tcW w:w="2409" w:type="dxa"/>
          </w:tcPr>
          <w:p w14:paraId="308898C8" w14:textId="77777777" w:rsidR="00777168" w:rsidRPr="00E43D7D" w:rsidRDefault="00777168" w:rsidP="00777168">
            <w:pPr>
              <w:spacing w:before="40" w:after="40"/>
              <w:rPr>
                <w:rFonts w:cs="Calibri"/>
              </w:rPr>
            </w:pPr>
            <w:r w:rsidRPr="00E43D7D">
              <w:rPr>
                <w:rFonts w:cs="Calibri"/>
              </w:rPr>
              <w:t>ADTW</w:t>
            </w:r>
          </w:p>
        </w:tc>
        <w:tc>
          <w:tcPr>
            <w:tcW w:w="7088" w:type="dxa"/>
          </w:tcPr>
          <w:p w14:paraId="035A0D32" w14:textId="42C6C721" w:rsidR="00777168" w:rsidRPr="00E43D7D" w:rsidRDefault="00777168" w:rsidP="00777168">
            <w:pPr>
              <w:spacing w:before="40" w:after="40"/>
              <w:rPr>
                <w:rFonts w:cs="Calibri"/>
              </w:rPr>
            </w:pPr>
            <w:r w:rsidRPr="00E43D7D">
              <w:rPr>
                <w:rFonts w:cs="Calibri"/>
              </w:rPr>
              <w:t xml:space="preserve">ADLINK Technology Inc., </w:t>
            </w:r>
            <w:r w:rsidR="00E43D7D">
              <w:rPr>
                <w:rFonts w:cs="Calibri"/>
              </w:rPr>
              <w:t>Taoyuan City</w:t>
            </w:r>
            <w:r w:rsidRPr="00E43D7D">
              <w:rPr>
                <w:rFonts w:cs="Calibri"/>
              </w:rPr>
              <w:t>, Taiwan</w:t>
            </w:r>
          </w:p>
        </w:tc>
      </w:tr>
      <w:tr w:rsidR="00777168" w:rsidRPr="00E43D7D" w14:paraId="7D0E42A9" w14:textId="77777777" w:rsidTr="000E7262">
        <w:tblPrEx>
          <w:shd w:val="clear" w:color="auto" w:fill="auto"/>
        </w:tblPrEx>
        <w:tc>
          <w:tcPr>
            <w:tcW w:w="2409" w:type="dxa"/>
          </w:tcPr>
          <w:p w14:paraId="42EE71A7" w14:textId="77777777" w:rsidR="00777168" w:rsidRPr="00E43D7D" w:rsidRDefault="00777168" w:rsidP="00777168">
            <w:pPr>
              <w:spacing w:before="40" w:after="40"/>
              <w:rPr>
                <w:rFonts w:cs="Calibri"/>
              </w:rPr>
            </w:pPr>
            <w:r w:rsidRPr="00E43D7D">
              <w:rPr>
                <w:rFonts w:cs="Calibri"/>
              </w:rPr>
              <w:t>ATG</w:t>
            </w:r>
          </w:p>
        </w:tc>
        <w:tc>
          <w:tcPr>
            <w:tcW w:w="7088" w:type="dxa"/>
          </w:tcPr>
          <w:p w14:paraId="508AEF61" w14:textId="77777777" w:rsidR="00777168" w:rsidRPr="00E43D7D" w:rsidRDefault="00777168" w:rsidP="00777168">
            <w:pPr>
              <w:spacing w:before="40" w:after="40"/>
              <w:rPr>
                <w:rFonts w:cs="Calibri"/>
              </w:rPr>
            </w:pPr>
            <w:r w:rsidRPr="00E43D7D">
              <w:rPr>
                <w:rFonts w:cs="Calibri"/>
              </w:rPr>
              <w:t>ADLINK Technology GmbH, Deggendorf, Germany</w:t>
            </w:r>
          </w:p>
        </w:tc>
      </w:tr>
      <w:tr w:rsidR="00FA3320" w:rsidRPr="00E43D7D" w14:paraId="4ADDBBD0" w14:textId="77777777" w:rsidTr="000E7262">
        <w:tblPrEx>
          <w:shd w:val="clear" w:color="auto" w:fill="auto"/>
        </w:tblPrEx>
        <w:tc>
          <w:tcPr>
            <w:tcW w:w="2409" w:type="dxa"/>
          </w:tcPr>
          <w:p w14:paraId="368A37CB" w14:textId="313F2EB3" w:rsidR="00FA3320" w:rsidRPr="00E43D7D" w:rsidRDefault="00FA3320" w:rsidP="00777168">
            <w:pPr>
              <w:spacing w:before="40" w:after="40"/>
              <w:rPr>
                <w:rFonts w:cs="Calibri"/>
              </w:rPr>
            </w:pPr>
            <w:r/>
            <w:r>
              <w:t>ATGM / ATGD</w:t>
            </w:r>
          </w:p>
        </w:tc>
        <w:tc>
          <w:tcPr>
            <w:tcW w:w="7088" w:type="dxa"/>
          </w:tcPr>
          <w:p w14:paraId="6F8B3784" w14:textId="6D96120B" w:rsidR="00FA3320" w:rsidRPr="00E43D7D" w:rsidRDefault="00FA3320" w:rsidP="00777168">
            <w:pPr>
              <w:spacing w:before="40" w:after="40"/>
              <w:rPr>
                <w:rFonts w:cs="Calibri"/>
              </w:rPr>
            </w:pPr>
            <w:r/>
            <w:r>
              <w:t>ADLINK Technology GmbH — Mannheim / Deggendorf sites</w:t>
            </w:r>
          </w:p>
        </w:tc>
      </w:tr>
      <w:tr w:rsidR="00777168" w:rsidRPr="00E43D7D" w14:paraId="0E4A4BCD" w14:textId="77777777" w:rsidTr="000E7262">
        <w:tblPrEx>
          <w:shd w:val="clear" w:color="auto" w:fill="auto"/>
        </w:tblPrEx>
        <w:tc>
          <w:tcPr>
            <w:tcW w:w="2409" w:type="dxa"/>
          </w:tcPr>
          <w:p w14:paraId="27205936" w14:textId="7E96A5F9" w:rsidR="00777168" w:rsidRPr="00E43D7D" w:rsidRDefault="00777168" w:rsidP="00777168">
            <w:pPr>
              <w:spacing w:before="40" w:after="40"/>
              <w:rPr>
                <w:rFonts w:cs="Calibri"/>
              </w:rPr>
            </w:pPr>
            <w:r/>
            <w:r>
              <w:t>CRA</w:t>
            </w:r>
          </w:p>
        </w:tc>
        <w:tc>
          <w:tcPr>
            <w:tcW w:w="7088" w:type="dxa"/>
          </w:tcPr>
          <w:p w14:paraId="1F0B445C" w14:textId="5FEF68DC" w:rsidR="00777168" w:rsidRPr="00E43D7D" w:rsidRDefault="00777168" w:rsidP="00777168">
            <w:pPr>
              <w:spacing w:before="40" w:after="40"/>
              <w:rPr>
                <w:rFonts w:cs="Calibri"/>
              </w:rPr>
            </w:pPr>
            <w:r/>
            <w:r>
              <w:t>Cyber Resilience Act — Regulation (EU) 2024/2847</w:t>
            </w:r>
          </w:p>
        </w:tc>
      </w:tr>
      <w:tr>
        <w:tc>
          <w:tcPr>
            <w:tcW w:type="dxa" w:w="2409"/>
          </w:tcPr>
          <w:p>
            <w:r/>
            <w:r>
              <w:t>PSIRT</w:t>
            </w:r>
          </w:p>
        </w:tc>
        <w:tc>
          <w:tcPr>
            <w:tcW w:type="dxa" w:w="7088"/>
          </w:tcPr>
          <w:p>
            <w:r/>
            <w:r>
              <w:t>Product Security Incident Response Team</w:t>
            </w:r>
          </w:p>
        </w:tc>
      </w:tr>
      <w:tr>
        <w:tc>
          <w:tcPr>
            <w:tcW w:type="dxa" w:w="2409"/>
          </w:tcPr>
          <w:p>
            <w:r/>
            <w:r>
              <w:t>SBOM</w:t>
            </w:r>
          </w:p>
        </w:tc>
        <w:tc>
          <w:tcPr>
            <w:tcW w:type="dxa" w:w="7088"/>
          </w:tcPr>
          <w:p>
            <w:r/>
            <w:r>
              <w:t>Software Bill of Materials (Annex I Part II §1)</w:t>
            </w:r>
          </w:p>
        </w:tc>
      </w:tr>
      <w:tr>
        <w:tc>
          <w:tcPr>
            <w:tcW w:type="dxa" w:w="2409"/>
          </w:tcPr>
          <w:p>
            <w:r/>
            <w:r>
              <w:t>CVE / CVSS</w:t>
            </w:r>
          </w:p>
        </w:tc>
        <w:tc>
          <w:tcPr>
            <w:tcW w:type="dxa" w:w="7088"/>
          </w:tcPr>
          <w:p>
            <w:r/>
            <w:r>
              <w:t>Common Vulnerabilities and Exposures / Common Vulnerability Scoring System</w:t>
            </w:r>
          </w:p>
        </w:tc>
      </w:tr>
      <w:tr>
        <w:tc>
          <w:tcPr>
            <w:tcW w:type="dxa" w:w="2409"/>
          </w:tcPr>
          <w:p>
            <w:r/>
            <w:r>
              <w:t>CVD</w:t>
            </w:r>
          </w:p>
        </w:tc>
        <w:tc>
          <w:tcPr>
            <w:tcW w:type="dxa" w:w="7088"/>
          </w:tcPr>
          <w:p>
            <w:r/>
            <w:r>
              <w:t>Coordinated Vulnerability Disclosure</w:t>
            </w:r>
          </w:p>
        </w:tc>
      </w:tr>
      <w:tr>
        <w:tc>
          <w:tcPr>
            <w:tcW w:type="dxa" w:w="2409"/>
          </w:tcPr>
          <w:p>
            <w:r/>
            <w:r>
              <w:t>VEX</w:t>
            </w:r>
          </w:p>
        </w:tc>
        <w:tc>
          <w:tcPr>
            <w:tcW w:type="dxa" w:w="7088"/>
          </w:tcPr>
          <w:p>
            <w:r/>
            <w:r>
              <w:t>Vulnerability Exploitability eXchange — machine-readable affected / not-affected statement</w:t>
            </w:r>
          </w:p>
        </w:tc>
      </w:tr>
      <w:tr>
        <w:tc>
          <w:tcPr>
            <w:tcW w:type="dxa" w:w="2409"/>
          </w:tcPr>
          <w:p>
            <w:r/>
            <w:r>
              <w:t>DoC</w:t>
            </w:r>
          </w:p>
        </w:tc>
        <w:tc>
          <w:tcPr>
            <w:tcW w:type="dxa" w:w="7088"/>
          </w:tcPr>
          <w:p>
            <w:r/>
            <w:r>
              <w:t>EU Declaration of Conformity</w:t>
            </w:r>
          </w:p>
        </w:tc>
      </w:tr>
      <w:tr>
        <w:tc>
          <w:tcPr>
            <w:tcW w:type="dxa" w:w="2409"/>
          </w:tcPr>
          <w:p>
            <w:r/>
            <w:r>
              <w:t>NVD / OSV</w:t>
            </w:r>
          </w:p>
        </w:tc>
        <w:tc>
          <w:tcPr>
            <w:tcW w:type="dxa" w:w="7088"/>
          </w:tcPr>
          <w:p>
            <w:r/>
            <w:r>
              <w:t>Public vulnerability databases used for automated SBOM matching</w:t>
            </w:r>
          </w:p>
        </w:tc>
      </w:tr>
      <w:tr>
        <w:tc>
          <w:tcPr>
            <w:tcW w:type="dxa" w:w="2409"/>
          </w:tcPr>
          <w:p>
            <w:r/>
            <w:r>
              <w:t>ENISA</w:t>
            </w:r>
          </w:p>
        </w:tc>
        <w:tc>
          <w:tcPr>
            <w:tcW w:type="dxa" w:w="7088"/>
          </w:tcPr>
          <w:p>
            <w:r/>
            <w:r>
              <w:t>EU Agency for Cybersecurity — operates the Art 14 single reporting platform</w:t>
            </w:r>
          </w:p>
        </w:tc>
      </w:tr>
      <w:tr>
        <w:tc>
          <w:tcPr>
            <w:tcW w:type="dxa" w:w="2409"/>
          </w:tcPr>
          <w:p>
            <w:r/>
            <w:r>
              <w:t>BSI</w:t>
            </w:r>
          </w:p>
        </w:tc>
        <w:tc>
          <w:tcPr>
            <w:tcW w:type="dxa" w:w="7088"/>
          </w:tcPr>
          <w:p>
            <w:r/>
            <w:r>
              <w:t>Bundesamt für Sicherheit in der Informationstechnik — German CSIRT coordinator</w:t>
            </w:r>
          </w:p>
        </w:tc>
      </w:tr>
    </w:tbl>
    <w:p>
      <w:pPr>
        <w:pStyle w:val="berschrift2"/>
      </w:pPr>
      <w:r>
        <w:t>📖 Key definitions (verbatim)</w:t>
      </w:r>
    </w:p>
    <w:p>
      <w:pPr>
        <w:spacing w:after="40"/>
        <w:ind w:left="425"/>
      </w:pPr>
      <w:r>
        <w:t xml:space="preserve">• </w:t>
      </w:r>
      <w:r>
        <w:rPr>
          <w:b/>
        </w:rPr>
        <w:t>Manufacturer — Art 3(13):</w:t>
      </w:r>
      <w:r>
        <w:t xml:space="preserve"> "a natural or legal person who develops or manufactures products with digital elements </w:t>
      </w:r>
      <w:r>
        <w:rPr>
          <w:b/>
        </w:rPr>
        <w:t>or has products with digital elements designed, developed or manufactured, and markets them under its name or trademark</w:t>
      </w:r>
      <w:r>
        <w:t>, whether for payment, monetisation or free of charge"</w:t>
      </w:r>
    </w:p>
    <w:p>
      <w:pPr>
        <w:spacing w:after="40"/>
        <w:ind w:left="425"/>
      </w:pPr>
      <w:r>
        <w:t xml:space="preserve">• </w:t>
      </w:r>
      <w:r>
        <w:rPr>
          <w:b/>
        </w:rPr>
        <w:t>Placing on the market — Art 3(21):</w:t>
      </w:r>
      <w:r>
        <w:t xml:space="preserve"> "the </w:t>
      </w:r>
      <w:r>
        <w:rPr>
          <w:b/>
        </w:rPr>
        <w:t>first</w:t>
      </w:r>
      <w:r>
        <w:t xml:space="preserve"> making available of a product with digital elements on the Union market" (⚠️ per individual unit, not per model)</w:t>
      </w:r>
    </w:p>
    <w:p>
      <w:pPr>
        <w:spacing w:after="40"/>
        <w:ind w:left="425"/>
      </w:pPr>
      <w:r>
        <w:t xml:space="preserve">• </w:t>
      </w:r>
      <w:r>
        <w:rPr>
          <w:b/>
        </w:rPr>
        <w:t>Making available — Art 3(22):</w:t>
      </w:r>
      <w:r>
        <w:t xml:space="preserve"> "the supply … for distribution or use on the Union market in the course of a commercial activity, whether in return for payment or free of charge"</w:t>
      </w:r>
    </w:p>
    <w:p>
      <w:pPr>
        <w:spacing w:after="40"/>
        <w:ind w:left="425"/>
      </w:pPr>
      <w:r>
        <w:t xml:space="preserve">• </w:t>
      </w:r>
      <w:r>
        <w:rPr>
          <w:b/>
        </w:rPr>
        <w:t>Substantial modification — Art 3(30):</w:t>
      </w:r>
      <w:r>
        <w:t xml:space="preserve"> "a change … which affects the compliance … with the essential cybersecurity requirements set out in Part I of Annex I </w:t>
      </w:r>
      <w:r>
        <w:rPr>
          <w:b/>
        </w:rPr>
        <w:t>or</w:t>
      </w:r>
      <w:r>
        <w:t xml:space="preserve"> which results in a modification to the intended purpose". Security patches and minor updates are NOT substantial (Recital 39); new features usually are.</w:t>
      </w:r>
    </w:p>
    <w:p>
      <w:pPr>
        <w:spacing w:after="40"/>
        <w:ind w:left="425"/>
      </w:pPr>
      <w:r>
        <w:t xml:space="preserve">• </w:t>
      </w:r>
      <w:r>
        <w:rPr>
          <w:b/>
        </w:rPr>
        <w:t>Severe incident — Art 14(5):</w:t>
      </w:r>
      <w:r>
        <w:t xml:space="preserve"> negatively affects the product's ability to protect availability/authenticity/integrity/confidentiality of data or functions, or leads to introduction/execution of malicious code.</w:t>
      </w:r>
    </w:p>
    <w:p>
      <w:pPr>
        <w:spacing w:after="40"/>
        <w:ind w:left="425"/>
      </w:pPr>
      <w:r>
        <w:t xml:space="preserve">• </w:t>
      </w:r>
      <w:r>
        <w:rPr>
          <w:b/>
        </w:rPr>
        <w:t>Spare-parts exemption — Art 2(6):</w:t>
      </w:r>
      <w:r>
        <w:t xml:space="preserve"> "This Regulation does not apply to </w:t>
      </w:r>
      <w:r>
        <w:rPr>
          <w:b/>
        </w:rPr>
        <w:t>spare parts</w:t>
      </w:r>
      <w:r>
        <w:t xml:space="preserve"> … to replace </w:t>
      </w:r>
      <w:r>
        <w:rPr>
          <w:b/>
        </w:rPr>
        <w:t>identical components</w:t>
      </w:r>
      <w:r>
        <w:t xml:space="preserve"> … manufactured according to the </w:t>
      </w:r>
      <w:r>
        <w:rPr>
          <w:b/>
        </w:rPr>
        <w:t>same specifications</w:t>
      </w:r>
      <w:r>
        <w:t>" (incl. spare parts for legacy products, Recital 29).</w:t>
      </w:r>
    </w:p>
    <w:p>
      <w:pPr>
        <w:spacing w:after="40"/>
        <w:ind w:left="425"/>
      </w:pPr>
      <w:r>
        <w:t xml:space="preserve">• </w:t>
      </w:r>
      <w:r>
        <w:t xml:space="preserve">⚠️ "CRA notification" / "CRA report" / "CRA ready" are </w:t>
      </w:r>
      <w:r>
        <w:rPr>
          <w:b/>
        </w:rPr>
        <w:t>not</w:t>
      </w:r>
      <w:r>
        <w:t xml:space="preserve"> terms of the Regulation.</w:t>
      </w:r>
    </w:p>
    <w:p w14:paraId="41EAE5CC" w14:textId="77777777" w:rsidR="00902577" w:rsidRPr="002E535D" w:rsidRDefault="00DB7158" w:rsidP="002E535D">
      <w:pPr>
        <w:pStyle w:val="berschrift1"/>
      </w:pPr>
      <w:bookmarkStart w:id="7" w:name="_Toc176792739"/>
      <w:bookmarkStart w:id="8" w:name="_Toc233100347"/>
      <w:r w:rsidRPr="002E535D">
        <w:lastRenderedPageBreak/>
        <w:t>Supportive Documents</w:t>
      </w:r>
      <w:bookmarkEnd w:id="7"/>
      <w:bookmarkEnd w:id="8"/>
    </w:p>
    <w:p w14:paraId="767538D1" w14:textId="65D36E9A" w:rsidR="000348C8" w:rsidRDefault="00407322" w:rsidP="008F3816">
      <w:pPr>
        <w:keepNext/>
        <w:ind w:left="425"/>
        <w:rPr>
          <w:rFonts w:cs="Calibri"/>
        </w:rPr>
      </w:pPr>
      <w:r w:rsidRPr="007336CE">
        <w:rPr>
          <w:rFonts w:cs="Calibri"/>
        </w:rPr>
        <w:t>The following documents contain further information or details; they are explicitly (by [REFx or document no.]) or implicitly referred to in this document.</w:t>
      </w:r>
    </w:p>
    <w:p w14:paraId="7B47019A" w14:textId="77777777" w:rsidR="008F3816" w:rsidRDefault="008F3816" w:rsidP="008F3816">
      <w:pPr>
        <w:keepNext/>
        <w:ind w:left="425"/>
        <w:rPr>
          <w:rFonts w:cs="Calibri"/>
        </w:rPr>
      </w:pPr>
    </w:p>
    <w:tbl>
      <w:tblPr>
        <w:tblStyle w:val="Tabellenraster"/>
        <w:tblW w:w="9497" w:type="dxa"/>
        <w:tblInd w:w="421" w:type="dxa"/>
        <w:shd w:val="clear" w:color="auto" w:fill="F2F2F2" w:themeFill="background1" w:themeFillShade="F2"/>
        <w:tblLook w:val="04A0" w:firstRow="1" w:lastRow="0" w:firstColumn="1" w:lastColumn="0" w:noHBand="0" w:noVBand="1"/>
      </w:tblPr>
      <w:tblGrid>
        <w:gridCol w:w="851"/>
        <w:gridCol w:w="2835"/>
        <w:gridCol w:w="5811"/>
      </w:tblGrid>
      <w:tr w:rsidR="006D31CB" w:rsidRPr="007336CE" w14:paraId="2A02CC98" w14:textId="77777777" w:rsidTr="001A675F">
        <w:trPr>
          <w:tblHeader/>
        </w:trPr>
        <w:tc>
          <w:tcPr>
            <w:tcW w:w="851" w:type="dxa"/>
            <w:shd w:val="clear" w:color="auto" w:fill="BFBFBF" w:themeFill="background1" w:themeFillShade="BF"/>
            <w:vAlign w:val="center"/>
          </w:tcPr>
          <w:p w14:paraId="0EE6A33F" w14:textId="77777777" w:rsidR="006D31CB" w:rsidRPr="007336CE" w:rsidRDefault="006D31CB" w:rsidP="004A6A98">
            <w:pPr>
              <w:pStyle w:val="StdTabelle"/>
              <w:keepNext/>
              <w:spacing w:before="40" w:after="40"/>
              <w:jc w:val="center"/>
              <w:rPr>
                <w:rFonts w:cs="Calibri"/>
                <w:b/>
                <w:sz w:val="22"/>
                <w:szCs w:val="22"/>
              </w:rPr>
            </w:pPr>
            <w:r w:rsidRPr="007336CE">
              <w:rPr>
                <w:rFonts w:cs="Calibri"/>
                <w:b/>
                <w:sz w:val="22"/>
                <w:szCs w:val="22"/>
              </w:rPr>
              <w:t>REF#</w:t>
            </w:r>
          </w:p>
        </w:tc>
        <w:tc>
          <w:tcPr>
            <w:tcW w:w="2835" w:type="dxa"/>
            <w:shd w:val="clear" w:color="auto" w:fill="BFBFBF" w:themeFill="background1" w:themeFillShade="BF"/>
            <w:vAlign w:val="center"/>
          </w:tcPr>
          <w:p w14:paraId="41116F72" w14:textId="77777777" w:rsidR="006D31CB" w:rsidRPr="007336CE" w:rsidRDefault="006D31CB" w:rsidP="004A6A98">
            <w:pPr>
              <w:pStyle w:val="StdTabelle"/>
              <w:keepNext/>
              <w:spacing w:before="40" w:after="40"/>
              <w:rPr>
                <w:rFonts w:cs="Calibri"/>
                <w:b/>
                <w:sz w:val="22"/>
                <w:szCs w:val="22"/>
              </w:rPr>
            </w:pPr>
            <w:r w:rsidRPr="007336CE">
              <w:rPr>
                <w:rFonts w:cs="Calibri"/>
                <w:b/>
                <w:sz w:val="22"/>
                <w:szCs w:val="22"/>
              </w:rPr>
              <w:t>Document no.</w:t>
            </w:r>
          </w:p>
        </w:tc>
        <w:tc>
          <w:tcPr>
            <w:tcW w:w="5811" w:type="dxa"/>
            <w:shd w:val="clear" w:color="auto" w:fill="BFBFBF" w:themeFill="background1" w:themeFillShade="BF"/>
            <w:vAlign w:val="center"/>
          </w:tcPr>
          <w:p w14:paraId="54ED2DCC" w14:textId="77777777" w:rsidR="006D31CB" w:rsidRPr="007336CE" w:rsidRDefault="006D31CB" w:rsidP="004A6A98">
            <w:pPr>
              <w:pStyle w:val="StdTabelle"/>
              <w:keepNext/>
              <w:spacing w:before="40" w:after="40"/>
              <w:rPr>
                <w:rFonts w:cs="Calibri"/>
                <w:b/>
                <w:sz w:val="22"/>
                <w:szCs w:val="22"/>
              </w:rPr>
            </w:pPr>
            <w:r w:rsidRPr="007336CE">
              <w:rPr>
                <w:rFonts w:cs="Calibri"/>
                <w:b/>
                <w:sz w:val="22"/>
                <w:szCs w:val="22"/>
              </w:rPr>
              <w:t>Link address, document, remark(s)</w:t>
            </w:r>
          </w:p>
        </w:tc>
      </w:tr>
      <w:tr w:rsidR="006D31CB" w:rsidRPr="007336CE" w14:paraId="0DCAADE0" w14:textId="77777777" w:rsidTr="00627D6D">
        <w:trPr>
          <w:tblHeader/>
        </w:trPr>
        <w:tc>
          <w:tcPr>
            <w:tcW w:w="851" w:type="dxa"/>
            <w:vAlign w:val="center"/>
          </w:tcPr>
          <w:p w14:paraId="486FA2C2" w14:textId="77777777" w:rsidR="006D31CB" w:rsidRPr="00FA3320" w:rsidRDefault="006D31CB" w:rsidP="00FA3320">
            <w:pPr>
              <w:pStyle w:val="Listenabsatz"/>
              <w:numPr>
                <w:ilvl w:val="0"/>
                <w:numId w:val="16"/>
              </w:numPr>
              <w:spacing w:before="40" w:after="40"/>
              <w:ind w:left="0" w:firstLine="0"/>
              <w:jc w:val="center"/>
              <w:rPr>
                <w:rFonts w:cs="Calibri"/>
              </w:rPr>
            </w:pPr>
            <w:bookmarkStart w:id="9" w:name="_Ref220422056"/>
          </w:p>
        </w:tc>
        <w:bookmarkEnd w:id="9"/>
        <w:tc>
          <w:tcPr>
            <w:tcW w:w="2835" w:type="dxa"/>
            <w:vAlign w:val="center"/>
          </w:tcPr>
          <w:p w14:paraId="7DC3C783" w14:textId="04A0DC44" w:rsidR="006D31CB" w:rsidRPr="007336CE" w:rsidRDefault="005A134D" w:rsidP="00FA3320">
            <w:pPr>
              <w:spacing w:before="40" w:after="40"/>
              <w:rPr>
                <w:rFonts w:cs="Calibri"/>
              </w:rPr>
            </w:pPr>
            <w:r w:rsidRPr="005A134D">
              <w:rPr>
                <w:rFonts w:cs="Calibri"/>
              </w:rPr>
              <w:t>2024_2847_CRA.pdf</w:t>
            </w:r>
          </w:p>
        </w:tc>
        <w:tc>
          <w:tcPr>
            <w:tcW w:w="5811" w:type="dxa"/>
            <w:shd w:val="clear" w:color="auto" w:fill="auto"/>
            <w:vAlign w:val="center"/>
          </w:tcPr>
          <w:p w14:paraId="5AC9E107" w14:textId="6512F4FE" w:rsidR="006D31CB" w:rsidRPr="007336CE" w:rsidRDefault="005A134D" w:rsidP="005A134D">
            <w:pPr>
              <w:spacing w:before="40" w:after="40"/>
              <w:rPr>
                <w:rFonts w:cs="Calibri"/>
              </w:rPr>
            </w:pPr>
            <w:r w:rsidRPr="005A134D">
              <w:rPr>
                <w:rFonts w:cs="Calibri"/>
              </w:rPr>
              <w:t>REGULATION (EU) 2024/2847 OF THE EUROPEAN PARLIAMENT AND OF THE COUNCIL</w:t>
            </w:r>
            <w:r>
              <w:rPr>
                <w:rFonts w:cs="Calibri"/>
              </w:rPr>
              <w:t xml:space="preserve">   of 23 October 2024</w:t>
            </w:r>
          </w:p>
        </w:tc>
      </w:tr>
      <w:tr w:rsidR="00627D6D" w:rsidRPr="007336CE" w14:paraId="0A2CF3A9" w14:textId="77777777" w:rsidTr="00627D6D">
        <w:trPr>
          <w:tblHeader/>
        </w:trPr>
        <w:tc>
          <w:tcPr>
            <w:tcW w:w="851" w:type="dxa"/>
            <w:vAlign w:val="center"/>
          </w:tcPr>
          <w:p w14:paraId="222FB2AD" w14:textId="77777777" w:rsidR="00627D6D" w:rsidRPr="00FA3320" w:rsidRDefault="00627D6D" w:rsidP="00627D6D">
            <w:pPr>
              <w:pStyle w:val="Listenabsatz"/>
              <w:numPr>
                <w:ilvl w:val="0"/>
                <w:numId w:val="16"/>
              </w:numPr>
              <w:spacing w:before="40" w:after="40"/>
              <w:ind w:left="0" w:firstLine="0"/>
              <w:jc w:val="center"/>
              <w:rPr>
                <w:rFonts w:cs="Calibri"/>
              </w:rPr>
            </w:pPr>
            <w:r>
              <w:rPr>
                <w:sz w:val="16"/>
              </w:rPr>
            </w:r>
            <w:r>
              <w:rPr>
                <w:sz w:val="16"/>
              </w:rPr>
            </w:r>
          </w:p>
        </w:tc>
        <w:bookmarkEnd w:id="10"/>
        <w:tc>
          <w:tcPr>
            <w:tcW w:w="2835" w:type="dxa"/>
            <w:vAlign w:val="center"/>
          </w:tcPr>
          <w:p w14:paraId="1AE6563D" w14:textId="1295CE0F" w:rsidR="00627D6D" w:rsidRPr="00FA3320" w:rsidRDefault="00627D6D" w:rsidP="00627D6D">
            <w:pPr>
              <w:spacing w:before="40" w:after="40"/>
              <w:rPr>
                <w:rFonts w:cs="Calibri"/>
              </w:rPr>
            </w:pPr>
            <w:r>
              <w:rPr>
                <w:sz w:val="16"/>
              </w:rPr>
            </w:r>
            <w:r>
              <w:rPr>
                <w:sz w:val="16"/>
              </w:rPr>
              <w:t>FAQs_on_the_CRA v1.2</w:t>
            </w:r>
          </w:p>
        </w:tc>
        <w:tc>
          <w:tcPr>
            <w:tcW w:w="5811" w:type="dxa"/>
            <w:shd w:val="clear" w:color="auto" w:fill="auto"/>
            <w:vAlign w:val="center"/>
          </w:tcPr>
          <w:p w14:paraId="11872F44" w14:textId="23E7E701" w:rsidR="00627D6D" w:rsidRPr="007336CE" w:rsidRDefault="00627D6D" w:rsidP="00627D6D">
            <w:pPr>
              <w:spacing w:before="40" w:after="40"/>
              <w:rPr>
                <w:rFonts w:cs="Calibri"/>
              </w:rPr>
            </w:pPr>
            <w:r>
              <w:rPr>
                <w:sz w:val="16"/>
              </w:rPr>
            </w:r>
            <w:r>
              <w:rPr>
                <w:sz w:val="16"/>
              </w:rPr>
              <w:t>European Commission — Frequently Asked Questions on the CRA, version 1.2 (Dec 2024)</w:t>
            </w:r>
          </w:p>
        </w:tc>
      </w:tr>
      <w:tr w:rsidR="00D926B5" w:rsidRPr="007336CE" w14:paraId="0E939B38" w14:textId="77777777" w:rsidTr="00627D6D">
        <w:trPr>
          <w:tblHeader/>
        </w:trPr>
        <w:tc>
          <w:tcPr>
            <w:tcW w:w="851" w:type="dxa"/>
            <w:vAlign w:val="center"/>
          </w:tcPr>
          <w:p w14:paraId="3FE342C6" w14:textId="77777777" w:rsidR="00D926B5" w:rsidRPr="00FA3320" w:rsidRDefault="00D926B5" w:rsidP="00627D6D">
            <w:pPr>
              <w:pStyle w:val="Listenabsatz"/>
              <w:numPr>
                <w:ilvl w:val="0"/>
                <w:numId w:val="16"/>
              </w:numPr>
              <w:spacing w:before="40" w:after="40"/>
              <w:ind w:left="0" w:firstLine="0"/>
              <w:jc w:val="center"/>
              <w:rPr>
                <w:rFonts w:cs="Calibri"/>
              </w:rPr>
            </w:pPr>
            <w:r>
              <w:rPr>
                <w:sz w:val="16"/>
              </w:rPr>
            </w:r>
            <w:r>
              <w:rPr>
                <w:sz w:val="16"/>
              </w:rPr>
            </w:r>
          </w:p>
        </w:tc>
        <w:tc>
          <w:tcPr>
            <w:tcW w:w="2835" w:type="dxa"/>
            <w:vAlign w:val="center"/>
          </w:tcPr>
          <w:p w14:paraId="0C857668" w14:textId="0AFCB53D" w:rsidR="00D926B5" w:rsidRPr="00FA3320" w:rsidRDefault="00D926B5" w:rsidP="00627D6D">
            <w:pPr>
              <w:spacing w:before="40" w:after="40"/>
              <w:rPr>
                <w:rFonts w:cs="Calibri"/>
              </w:rPr>
            </w:pPr>
            <w:r>
              <w:rPr>
                <w:sz w:val="16"/>
              </w:rPr>
            </w:r>
            <w:r>
              <w:rPr>
                <w:sz w:val="16"/>
              </w:rPr>
              <w:t>ATGD_CRA_regulation_line_of_reasoning.pdf</w:t>
            </w:r>
          </w:p>
        </w:tc>
        <w:tc>
          <w:tcPr>
            <w:tcW w:w="5811" w:type="dxa"/>
            <w:shd w:val="clear" w:color="auto" w:fill="auto"/>
            <w:vAlign w:val="center"/>
          </w:tcPr>
          <w:p w14:paraId="771C2A67" w14:textId="180ECDDF" w:rsidR="00D926B5" w:rsidRDefault="00D926B5" w:rsidP="00627D6D">
            <w:pPr>
              <w:spacing w:before="40" w:after="40"/>
              <w:rPr>
                <w:rFonts w:cs="Calibri"/>
              </w:rPr>
            </w:pPr>
            <w:r>
              <w:rPr>
                <w:sz w:val="16"/>
              </w:rPr>
            </w:r>
            <w:r>
              <w:rPr>
                <w:sz w:val="16"/>
              </w:rPr>
              <w:t>ATGD analysis — scope (§4.1), OS exclusion (§4.4), reporting substitution policy (§4.3)</w:t>
            </w:r>
          </w:p>
        </w:tc>
      </w:tr>
      <w:bookmarkEnd w:id="6"/>
      <w:tr>
        <w:tc>
          <w:tcPr>
            <w:tcW w:type="dxa" w:w="851"/>
          </w:tcPr>
          <w:p>
            <w:r>
              <w:rPr>
                <w:sz w:val="16"/>
              </w:rPr>
            </w:r>
            <w:r>
              <w:rPr>
                <w:sz w:val="16"/>
              </w:rPr>
            </w:r>
          </w:p>
        </w:tc>
        <w:tc>
          <w:tcPr>
            <w:tcW w:type="dxa" w:w="2835"/>
          </w:tcPr>
          <w:p>
            <w:r>
              <w:rPr>
                <w:sz w:val="16"/>
              </w:rPr>
            </w:r>
            <w:r>
              <w:rPr>
                <w:sz w:val="16"/>
              </w:rPr>
              <w:t>CPU and CRA support-v1.5.pptx</w:t>
            </w:r>
          </w:p>
        </w:tc>
        <w:tc>
          <w:tcPr>
            <w:tcW w:type="dxa" w:w="5811"/>
          </w:tcPr>
          <w:p>
            <w:r>
              <w:rPr>
                <w:sz w:val="16"/>
              </w:rPr>
            </w:r>
            <w:r>
              <w:rPr>
                <w:sz w:val="16"/>
              </w:rPr>
              <w:t>Silicon CRA support positions, 30 Jun 2026 — supersedes 'CPU and CRA support.pdf' (Jun 2026)</w:t>
            </w:r>
          </w:p>
        </w:tc>
      </w:tr>
      <w:tr>
        <w:tc>
          <w:tcPr>
            <w:tcW w:type="dxa" w:w="851"/>
          </w:tcPr>
          <w:p>
            <w:r>
              <w:rPr>
                <w:sz w:val="16"/>
              </w:rPr>
            </w:r>
            <w:r>
              <w:rPr>
                <w:sz w:val="16"/>
              </w:rPr>
            </w:r>
          </w:p>
        </w:tc>
        <w:tc>
          <w:tcPr>
            <w:tcW w:type="dxa" w:w="2835"/>
          </w:tcPr>
          <w:p>
            <w:r>
              <w:rPr>
                <w:sz w:val="16"/>
              </w:rPr>
            </w:r>
            <w:r>
              <w:rPr>
                <w:sz w:val="16"/>
              </w:rPr>
              <w:t>ADLINK_CRA_Sales_QA.xlsx</w:t>
            </w:r>
          </w:p>
        </w:tc>
        <w:tc>
          <w:tcPr>
            <w:tcW w:type="dxa" w:w="5811"/>
          </w:tcPr>
          <w:p>
            <w:r>
              <w:rPr>
                <w:sz w:val="16"/>
              </w:rPr>
            </w:r>
            <w:r>
              <w:rPr>
                <w:sz w:val="16"/>
              </w:rPr>
              <w:t>Sales Q&amp;A, scenario matrix, key dates, escalation paths</w:t>
            </w:r>
          </w:p>
        </w:tc>
      </w:tr>
      <w:tr>
        <w:tc>
          <w:tcPr>
            <w:tcW w:type="dxa" w:w="851"/>
          </w:tcPr>
          <w:p>
            <w:r>
              <w:rPr>
                <w:sz w:val="16"/>
              </w:rPr>
            </w:r>
            <w:r>
              <w:rPr>
                <w:sz w:val="16"/>
              </w:rPr>
            </w:r>
          </w:p>
        </w:tc>
        <w:tc>
          <w:tcPr>
            <w:tcW w:type="dxa" w:w="2835"/>
          </w:tcPr>
          <w:p>
            <w:r>
              <w:rPr>
                <w:sz w:val="16"/>
              </w:rPr>
            </w:r>
            <w:r>
              <w:rPr>
                <w:sz w:val="16"/>
              </w:rPr>
              <w:t>20.02.2026 ADLINK EU CRA Readiness Statement.pdf</w:t>
            </w:r>
          </w:p>
        </w:tc>
        <w:tc>
          <w:tcPr>
            <w:tcW w:type="dxa" w:w="5811"/>
          </w:tcPr>
          <w:p>
            <w:r>
              <w:rPr>
                <w:sz w:val="16"/>
              </w:rPr>
            </w:r>
            <w:r>
              <w:rPr>
                <w:sz w:val="16"/>
              </w:rPr>
              <w:t>Customer-facing readiness statement (signed, ADLINK Technology GmbH)</w:t>
            </w:r>
          </w:p>
        </w:tc>
      </w:tr>
      <w:tr>
        <w:tc>
          <w:tcPr>
            <w:tcW w:type="dxa" w:w="851"/>
          </w:tcPr>
          <w:p>
            <w:r>
              <w:rPr>
                <w:sz w:val="16"/>
              </w:rPr>
            </w:r>
            <w:r>
              <w:rPr>
                <w:sz w:val="16"/>
              </w:rPr>
            </w:r>
          </w:p>
        </w:tc>
        <w:tc>
          <w:tcPr>
            <w:tcW w:type="dxa" w:w="2835"/>
          </w:tcPr>
          <w:p>
            <w:r>
              <w:rPr>
                <w:sz w:val="16"/>
              </w:rPr>
            </w:r>
            <w:r>
              <w:rPr>
                <w:sz w:val="16"/>
              </w:rPr>
              <w:t>AMI Legal Memo Response to CRA Inquiries.pdf</w:t>
            </w:r>
          </w:p>
        </w:tc>
        <w:tc>
          <w:tcPr>
            <w:tcW w:type="dxa" w:w="5811"/>
          </w:tcPr>
          <w:p>
            <w:r>
              <w:rPr>
                <w:sz w:val="16"/>
              </w:rPr>
            </w:r>
            <w:r>
              <w:rPr>
                <w:sz w:val="16"/>
              </w:rPr>
              <w:t>AMI commitments: PSIRT feeds by Sep 2026, CE/DoC/SBOM per firmware line before Dec 2027</w:t>
            </w:r>
          </w:p>
        </w:tc>
      </w:tr>
      <w:tr>
        <w:tc>
          <w:tcPr>
            <w:tcW w:type="dxa" w:w="851"/>
          </w:tcPr>
          <w:p>
            <w:r>
              <w:rPr>
                <w:sz w:val="16"/>
              </w:rPr>
            </w:r>
            <w:r>
              <w:rPr>
                <w:sz w:val="16"/>
              </w:rPr>
            </w:r>
          </w:p>
        </w:tc>
        <w:tc>
          <w:tcPr>
            <w:tcW w:type="dxa" w:w="2835"/>
          </w:tcPr>
          <w:p>
            <w:r>
              <w:rPr>
                <w:sz w:val="16"/>
              </w:rPr>
            </w:r>
            <w:r>
              <w:rPr>
                <w:sz w:val="16"/>
              </w:rPr>
              <w:t>ADLINK_CRA_EOL_Migration.pdf</w:t>
            </w:r>
          </w:p>
        </w:tc>
        <w:tc>
          <w:tcPr>
            <w:tcW w:type="dxa" w:w="5811"/>
          </w:tcPr>
          <w:p>
            <w:r>
              <w:rPr>
                <w:sz w:val="16"/>
              </w:rPr>
            </w:r>
            <w:r>
              <w:rPr>
                <w:sz w:val="16"/>
              </w:rPr>
              <w:t>Channel briefing on EOL-silicon migration (Apollo Lake urgency superseded by v1.5)</w:t>
            </w:r>
          </w:p>
        </w:tc>
      </w:tr>
      <w:tr>
        <w:tc>
          <w:tcPr>
            <w:tcW w:type="dxa" w:w="851"/>
          </w:tcPr>
          <w:p>
            <w:r>
              <w:rPr>
                <w:sz w:val="16"/>
              </w:rPr>
            </w:r>
            <w:r>
              <w:rPr>
                <w:sz w:val="16"/>
              </w:rPr>
            </w:r>
          </w:p>
        </w:tc>
        <w:tc>
          <w:tcPr>
            <w:tcW w:type="dxa" w:w="2835"/>
          </w:tcPr>
          <w:p>
            <w:r>
              <w:rPr>
                <w:sz w:val="16"/>
              </w:rPr>
            </w:r>
            <w:r>
              <w:rPr>
                <w:sz w:val="16"/>
              </w:rPr>
              <w:t>MeteorLake_5.32_9AAMA_RC0D.E0.FD.30_5272.44_416_bios.cdx.json</w:t>
            </w:r>
          </w:p>
        </w:tc>
        <w:tc>
          <w:tcPr>
            <w:tcW w:type="dxa" w:w="5811"/>
          </w:tcPr>
          <w:p>
            <w:r>
              <w:rPr>
                <w:sz w:val="16"/>
              </w:rPr>
            </w:r>
            <w:r>
              <w:rPr>
                <w:sz w:val="16"/>
              </w:rPr>
              <w:t>Worked SBOM example (CycloneDX 1.6, syft) — see §8.1</w:t>
            </w:r>
          </w:p>
        </w:tc>
      </w:tr>
      <w:tr>
        <w:tc>
          <w:tcPr>
            <w:tcW w:type="dxa" w:w="851"/>
          </w:tcPr>
          <w:p>
            <w:r>
              <w:rPr>
                <w:sz w:val="16"/>
              </w:rPr>
            </w:r>
            <w:r>
              <w:rPr>
                <w:sz w:val="16"/>
              </w:rPr>
            </w:r>
          </w:p>
        </w:tc>
        <w:tc>
          <w:tcPr>
            <w:tcW w:type="dxa" w:w="2835"/>
          </w:tcPr>
          <w:p>
            <w:r>
              <w:rPr>
                <w:sz w:val="16"/>
              </w:rPr>
            </w:r>
            <w:r>
              <w:rPr>
                <w:sz w:val="16"/>
              </w:rPr>
              <w:t>adlink-os-and-bsp-responsability.png</w:t>
            </w:r>
          </w:p>
        </w:tc>
        <w:tc>
          <w:tcPr>
            <w:tcW w:type="dxa" w:w="5811"/>
          </w:tcPr>
          <w:p>
            <w:r>
              <w:rPr>
                <w:sz w:val="16"/>
              </w:rPr>
            </w:r>
            <w:r>
              <w:rPr>
                <w:sz w:val="16"/>
              </w:rPr>
              <w:t>OS/BSP responsibility decision tree — see §10</w:t>
            </w:r>
          </w:p>
        </w:tc>
      </w:tr>
      <w:tr>
        <w:tc>
          <w:tcPr>
            <w:tcW w:type="dxa" w:w="851"/>
          </w:tcPr>
          <w:p>
            <w:r>
              <w:rPr>
                <w:sz w:val="16"/>
              </w:rPr>
            </w:r>
            <w:r>
              <w:rPr>
                <w:sz w:val="16"/>
              </w:rPr>
            </w:r>
          </w:p>
        </w:tc>
        <w:tc>
          <w:tcPr>
            <w:tcW w:type="dxa" w:w="2835"/>
          </w:tcPr>
          <w:p>
            <w:r>
              <w:rPr>
                <w:sz w:val="16"/>
              </w:rPr>
            </w:r>
            <w:r>
              <w:rPr>
                <w:sz w:val="16"/>
              </w:rPr>
              <w:t>adlink-cra-strategy.md / implementation.md</w:t>
            </w:r>
          </w:p>
        </w:tc>
        <w:tc>
          <w:tcPr>
            <w:tcW w:type="dxa" w:w="5811"/>
          </w:tcPr>
          <w:p>
            <w:r>
              <w:rPr>
                <w:sz w:val="16"/>
              </w:rPr>
            </w:r>
            <w:r>
              <w:rPr>
                <w:sz w:val="16"/>
              </w:rPr>
              <w:t>Internal strategy notes and CRA vulnerability-handling pipeline</w:t>
            </w:r>
          </w:p>
        </w:tc>
      </w:tr>
      <w:tr>
        <w:tc>
          <w:tcPr>
            <w:tcW w:type="dxa" w:w="851"/>
          </w:tcPr>
          <w:p>
            <w:r>
              <w:rPr>
                <w:sz w:val="16"/>
              </w:rPr>
            </w:r>
            <w:r>
              <w:rPr>
                <w:sz w:val="16"/>
              </w:rPr>
            </w:r>
          </w:p>
        </w:tc>
        <w:tc>
          <w:tcPr>
            <w:tcW w:type="dxa" w:w="2835"/>
          </w:tcPr>
          <w:p>
            <w:r>
              <w:rPr>
                <w:sz w:val="16"/>
              </w:rPr>
            </w:r>
            <w:r>
              <w:rPr>
                <w:sz w:val="16"/>
              </w:rPr>
              <w:t>CRA-Survival-Guide.md</w:t>
            </w:r>
          </w:p>
        </w:tc>
        <w:tc>
          <w:tcPr>
            <w:tcW w:type="dxa" w:w="5811"/>
          </w:tcPr>
          <w:p>
            <w:r>
              <w:rPr>
                <w:sz w:val="16"/>
              </w:rPr>
            </w:r>
            <w:r>
              <w:rPr>
                <w:sz w:val="16"/>
              </w:rPr>
              <w:t>Consolidated source of sections 5–14 and 16 (Obsidian vault, Engineering/Regulations/CRA)</w:t>
            </w:r>
          </w:p>
        </w:tc>
      </w:tr>
    </w:tbl>
    <w:p w14:paraId="1C6A3999" w14:textId="6E98A91A" w:rsidR="005A134D" w:rsidRDefault="005A134D" w:rsidP="005A134D"/>
    <w:p w14:paraId="719C3810" w14:textId="77777777" w:rsidR="005A134D" w:rsidRDefault="005A134D">
      <w:r>
        <w:br w:type="page"/>
      </w:r>
    </w:p>
    <w:p>
      <w:pPr>
        <w:pStyle w:val="berschrift1"/>
      </w:pPr>
      <w:r>
        <w:t>📅 The three dates</w:t>
      </w:r>
    </w:p>
    <w:p>
      <w:pPr>
        <w:spacing w:after="40"/>
        <w:ind w:left="425"/>
      </w:pPr>
      <w:r>
        <w:t xml:space="preserve">• </w:t>
      </w:r>
      <w:r>
        <w:t>10 Dec 2024 — CRA in force (Art 71)</w:t>
      </w:r>
    </w:p>
    <w:p>
      <w:pPr>
        <w:spacing w:after="40"/>
        <w:ind w:left="425"/>
      </w:pPr>
      <w:r>
        <w:t xml:space="preserve">• </w:t>
      </w:r>
      <w:r>
        <w:t>11 Sep 2026 — Art 14 reporting starts, also for products already on the market (Art 69(3))</w:t>
      </w:r>
    </w:p>
    <w:p>
      <w:pPr>
        <w:spacing w:after="40"/>
        <w:ind w:left="425"/>
      </w:pPr>
      <w:r>
        <w:t xml:space="preserve">• </w:t>
      </w:r>
      <w:r>
        <w:t>11 Dec 2027 — full compliance: non-compliant products may no longer be placed on the EU market</w:t>
      </w:r>
    </w:p>
    <w:p>
      <w:pPr>
        <w:spacing w:after="40"/>
        <w:ind w:left="425"/>
      </w:pPr>
      <w:r>
        <w:t xml:space="preserve">• </w:t>
      </w:r>
      <w:r>
        <w:t>beyond — support-period duties run per product (≥5 y); each update stays available ≥10 y</w:t>
      </w:r>
    </w:p>
    <w:p>
      <w:pPr>
        <w:spacing w:after="0"/>
      </w:pPr>
    </w:p>
    <w:p>
      <w:r>
        <w:t xml:space="preserve">Transitional rule (Art 69(2)): products </w:t>
      </w:r>
      <w:r>
        <w:rPr>
          <w:i/>
        </w:rPr>
        <w:t>placed</w:t>
      </w:r>
      <w:r>
        <w:t xml:space="preserve"> before 11 Dec 2027 stay exempt </w:t>
      </w:r>
      <w:r>
        <w:rPr>
          <w:b/>
        </w:rPr>
        <w:t>unless substantially modified</w:t>
      </w:r>
      <w:r>
        <w:t xml:space="preserve"> after that date — but Art 14 reporting applies to them anyway.</w:t>
      </w:r>
    </w:p>
    <w:p>
      <w:pPr>
        <w:pStyle w:val="Zitat"/>
      </w:pPr>
      <w:r>
        <w:t xml:space="preserve">🛜 </w:t>
      </w:r>
      <w:r>
        <w:rPr>
          <w:b/>
        </w:rPr>
        <w:t>Worked example (EU FAQ 7.2)</w:t>
      </w:r>
      <w:r>
        <w:t xml:space="preserve"> — placement counts per </w:t>
      </w:r>
      <w:r>
        <w:rPr>
          <w:i/>
        </w:rPr>
        <w:t>unit</w:t>
      </w:r>
      <w:r>
        <w:t xml:space="preserve">, not per model: "a manufacturer has produced 10 000 copies of a router according to a type that is not compliant with the CRA. It places those 10 000 copies on the market before 11 December 2027. Even if those units have not reached their final user … the manufacturer does not need to bring them into compliance … However, that manufacturer </w:t>
      </w:r>
      <w:r>
        <w:rPr>
          <w:b/>
        </w:rPr>
        <w:t>may not produce another 5 000 copies</w:t>
      </w:r>
      <w:r>
        <w:t xml:space="preserve"> of that router and place them on the market after 11 December 2027." → old stock stays legal; </w:t>
      </w:r>
      <w:r>
        <w:rPr>
          <w:i/>
        </w:rPr>
        <w:t>new production</w:t>
      </w:r>
      <w:r>
        <w:t xml:space="preserve"> of the same non-compliant model becomes illegal (basis of the EOL-silicon end-of-sale dates, §10).</w:t>
      </w:r>
    </w:p>
    <w:p>
      <w:pPr>
        <w:pStyle w:val="berschrift1"/>
      </w:pPr>
      <w:r>
        <w:t>✅ Duties before first sale (from 11 Dec 2027)</w:t>
      </w:r>
    </w:p>
    <w:p>
      <w:pPr>
        <w:spacing w:after="40"/>
        <w:ind w:left="425"/>
      </w:pPr>
      <w:r>
        <w:t xml:space="preserve">1. </w:t>
      </w:r>
      <w:r>
        <w:t xml:space="preserve">Meet </w:t>
      </w:r>
      <w:r>
        <w:rPr>
          <w:b/>
        </w:rPr>
        <w:t>Annex I Part I</w:t>
      </w:r>
      <w:r>
        <w:t xml:space="preserve"> essential requirements (secure-by-default, no known exploitable vulns, access control, data protection, attack-surface minimisation, logging, secure updates …)</w:t>
      </w:r>
    </w:p>
    <w:p>
      <w:pPr>
        <w:spacing w:after="40"/>
        <w:ind w:left="425"/>
      </w:pPr>
      <w:r>
        <w:t xml:space="preserve">2. </w:t>
      </w:r>
      <w:r>
        <w:rPr>
          <w:b/>
        </w:rPr>
        <w:t>Cybersecurity risk assessment</w:t>
      </w:r>
      <w:r>
        <w:t xml:space="preserve"> (Art 13(2)–(3)) — kept in technical documentation → </w:t>
      </w:r>
      <w:r>
        <w:rPr>
          <w:i/>
        </w:rPr>
        <w:t>illustrated in §8.3</w:t>
      </w:r>
    </w:p>
    <w:p>
      <w:pPr>
        <w:spacing w:after="40"/>
        <w:ind w:left="425"/>
      </w:pPr>
      <w:r>
        <w:t xml:space="preserve">3. </w:t>
      </w:r>
      <w:r>
        <w:rPr>
          <w:b/>
        </w:rPr>
        <w:t>SBOM</w:t>
      </w:r>
      <w:r>
        <w:t xml:space="preserve"> "in a commonly used machine-readable format, covering at the very least the top-level dependencies" (Annex I Part II §1) → </w:t>
      </w:r>
      <w:r>
        <w:rPr>
          <w:i/>
        </w:rPr>
        <w:t>illustrated in §8.1</w:t>
      </w:r>
    </w:p>
    <w:p>
      <w:pPr>
        <w:spacing w:after="40"/>
        <w:ind w:left="425"/>
      </w:pPr>
      <w:r>
        <w:t xml:space="preserve">4. </w:t>
      </w:r>
      <w:r>
        <w:rPr>
          <w:b/>
        </w:rPr>
        <w:t>CVD policy</w:t>
      </w:r>
      <w:r>
        <w:t xml:space="preserve"> + single point of contact for vulnerability reports (Annex I Part II §5, Art 13(17))</w:t>
      </w:r>
    </w:p>
    <w:p>
      <w:pPr>
        <w:spacing w:after="40"/>
        <w:ind w:left="425"/>
      </w:pPr>
      <w:r>
        <w:t xml:space="preserve">5. </w:t>
      </w:r>
      <w:r>
        <w:rPr>
          <w:b/>
        </w:rPr>
        <w:t>Annex II user information</w:t>
      </w:r>
      <w:r>
        <w:t xml:space="preserve"> — incl. the </w:t>
      </w:r>
      <w:r>
        <w:rPr>
          <w:b/>
        </w:rPr>
        <w:t>end date of the support period stated at time of purchase</w:t>
      </w:r>
      <w:r>
        <w:t xml:space="preserve"> (Art 13(19))</w:t>
      </w:r>
    </w:p>
    <w:p>
      <w:pPr>
        <w:spacing w:after="40"/>
        <w:ind w:left="425"/>
      </w:pPr>
      <w:r>
        <w:t xml:space="preserve">6. </w:t>
      </w:r>
      <w:r>
        <w:rPr>
          <w:b/>
        </w:rPr>
        <w:t>Technical documentation</w:t>
      </w:r>
      <w:r>
        <w:t xml:space="preserve"> per Annex VII (Art 13(12), Art 31)</w:t>
      </w:r>
    </w:p>
    <w:p>
      <w:pPr>
        <w:spacing w:after="40"/>
        <w:ind w:left="425"/>
      </w:pPr>
      <w:r>
        <w:t xml:space="preserve">7. </w:t>
      </w:r>
      <w:r>
        <w:rPr>
          <w:b/>
        </w:rPr>
        <w:t>Conformity assessment</w:t>
      </w:r>
      <w:r>
        <w:t xml:space="preserve"> → </w:t>
      </w:r>
      <w:r>
        <w:rPr>
          <w:b/>
        </w:rPr>
        <w:t>CE marking + EU Declaration of Conformity</w:t>
      </w:r>
      <w:r>
        <w:t xml:space="preserve"> (Art 13(12), Art 28/30)</w:t>
      </w:r>
    </w:p>
    <w:p>
      <w:r>
        <w:t xml:space="preserve">None of this involves an authority up front: </w:t>
      </w:r>
      <w:r>
        <w:rPr>
          <w:b/>
        </w:rPr>
        <w:t>no registration, no submission, no prior authorisation</w:t>
      </w:r>
      <w:r>
        <w:t xml:space="preserve"> — the CE marking is self-affixed, the DoC travels with the product, and the technical file stays internal, provided to market surveillance only on request (FAQ 6.6/6.7).</w:t>
      </w:r>
    </w:p>
    <w:p>
      <w:r>
        <w:rPr>
          <w:b/>
        </w:rPr>
        <w:t>Already covered by our IEC 62443-4-1 ML2 cert</w:t>
      </w:r>
      <w:r>
        <w:t xml:space="preserve"> (a </w:t>
      </w:r>
      <w:r>
        <w:rPr>
          <w:i/>
        </w:rPr>
        <w:t>process</w:t>
      </w:r>
      <w:r>
        <w:t xml:space="preserve"> standard): the risk assessment (#2, Practice 2 threat modelling), the vulnerability- and update-handling processes behind the CVD duty (#4, Practices 6–7), the secure-use documentation feeding #5 (Practice 8), and most evidence for the technical file (#6). </w:t>
      </w:r>
      <w:r>
        <w:rPr>
          <w:b/>
        </w:rPr>
        <w:t>Not covered:</w:t>
      </w:r>
      <w:r>
        <w:t xml:space="preserve"> the product-level properties (#1 → 62443-4-2, planned), the SBOM (#3 — covered by the syft pipeline) and the CE/DoC paperwork (#7). ⚠ 4-1 is </w:t>
      </w:r>
      <w:r>
        <w:rPr>
          <w:b/>
        </w:rPr>
        <w:t>not yet a harmonised standard</w:t>
      </w:r>
      <w:r>
        <w:t xml:space="preserve"> — until the CEN/CENELEC ENs are cited in the OJEU, the cert is strong evidence, not an automatic self-assessment ticket.</w:t>
      </w:r>
    </w:p>
    <w:p>
      <w:r>
        <w:rPr>
          <w:b/>
        </w:rPr>
        <w:t>Classification decides the conformity route</w:t>
      </w:r>
      <w:r>
        <w:t xml:space="preserve"> (core-functionality rule, FAQ 3.4 — integrating a Class I/II component does </w:t>
      </w:r>
      <w:r>
        <w:rPr>
          <w:i/>
        </w:rPr>
        <w:t>not</w:t>
      </w:r>
      <w:r>
        <w:t xml:space="preserve"> upgrade the end product):</w:t>
      </w:r>
    </w:p>
    <w:tbl>
      <w:tblPr>
        <w:tblStyle w:val="Tabellenraster"/>
        <w:tblW w:type="auto" w:w="0"/>
        <w:tblLook w:firstColumn="1" w:firstRow="1" w:lastColumn="0" w:lastRow="0" w:noHBand="0" w:noVBand="1" w:val="04A0"/>
      </w:tblPr>
      <w:tblGrid>
        <w:gridCol w:w="3251"/>
        <w:gridCol w:w="3251"/>
        <w:gridCol w:w="3251"/>
      </w:tblGrid>
      <w:tr>
        <w:tc>
          <w:tcPr>
            <w:tcW w:type="dxa" w:w="3251"/>
          </w:tcPr>
          <w:p>
            <w:r>
              <w:rPr>
                <w:sz w:val="16"/>
              </w:rPr>
            </w:r>
            <w:r>
              <w:rPr>
                <w:b/>
                <w:sz w:val="16"/>
              </w:rPr>
              <w:t>Class</w:t>
            </w:r>
          </w:p>
        </w:tc>
        <w:tc>
          <w:tcPr>
            <w:tcW w:type="dxa" w:w="3251"/>
          </w:tcPr>
          <w:p>
            <w:r>
              <w:rPr>
                <w:sz w:val="16"/>
              </w:rPr>
            </w:r>
            <w:r>
              <w:rPr>
                <w:b/>
                <w:sz w:val="16"/>
              </w:rPr>
              <w:t>ADLINK-relevant examples (Annex III/IV)</w:t>
            </w:r>
          </w:p>
        </w:tc>
        <w:tc>
          <w:tcPr>
            <w:tcW w:type="dxa" w:w="3251"/>
          </w:tcPr>
          <w:p>
            <w:r>
              <w:rPr>
                <w:sz w:val="16"/>
              </w:rPr>
            </w:r>
            <w:r>
              <w:rPr>
                <w:b/>
                <w:sz w:val="16"/>
              </w:rPr>
              <w:t>Route</w:t>
            </w:r>
          </w:p>
        </w:tc>
      </w:tr>
      <w:tr>
        <w:tc>
          <w:tcPr>
            <w:tcW w:type="dxa" w:w="3251"/>
          </w:tcPr>
          <w:p>
            <w:r>
              <w:rPr>
                <w:sz w:val="16"/>
              </w:rPr>
            </w:r>
            <w:r>
              <w:rPr>
                <w:sz w:val="16"/>
              </w:rPr>
              <w:t>Default</w:t>
            </w:r>
          </w:p>
        </w:tc>
        <w:tc>
          <w:tcPr>
            <w:tcW w:type="dxa" w:w="3251"/>
          </w:tcPr>
          <w:p>
            <w:r>
              <w:rPr>
                <w:sz w:val="16"/>
              </w:rPr>
            </w:r>
            <w:r>
              <w:rPr>
                <w:sz w:val="16"/>
              </w:rPr>
              <w:t>plain boards/modules without security function</w:t>
            </w:r>
          </w:p>
        </w:tc>
        <w:tc>
          <w:tcPr>
            <w:tcW w:type="dxa" w:w="3251"/>
          </w:tcPr>
          <w:p>
            <w:r>
              <w:rPr>
                <w:sz w:val="16"/>
              </w:rPr>
            </w:r>
            <w:r>
              <w:rPr>
                <w:sz w:val="16"/>
              </w:rPr>
              <w:t>self-assessment (Module A)</w:t>
            </w:r>
          </w:p>
        </w:tc>
      </w:tr>
      <w:tr>
        <w:tc>
          <w:tcPr>
            <w:tcW w:type="dxa" w:w="3251"/>
          </w:tcPr>
          <w:p>
            <w:r>
              <w:rPr>
                <w:sz w:val="16"/>
              </w:rPr>
            </w:r>
            <w:r>
              <w:rPr>
                <w:sz w:val="16"/>
              </w:rPr>
              <w:t>Important Class I</w:t>
            </w:r>
          </w:p>
        </w:tc>
        <w:tc>
          <w:tcPr>
            <w:tcW w:type="dxa" w:w="3251"/>
          </w:tcPr>
          <w:p>
            <w:r>
              <w:rPr>
                <w:sz w:val="16"/>
              </w:rPr>
            </w:r>
            <w:r>
              <w:rPr>
                <w:b/>
                <w:sz w:val="16"/>
              </w:rPr>
              <w:t>boot managers (BIOS)</w:t>
            </w:r>
            <w:r>
              <w:rPr>
                <w:sz w:val="16"/>
              </w:rPr>
              <w:t xml:space="preserve">, network interfaces, µP/µC/FPGAs </w:t>
            </w:r>
            <w:r>
              <w:rPr>
                <w:i/>
                <w:sz w:val="16"/>
              </w:rPr>
              <w:t>with security-related functionalities</w:t>
            </w:r>
            <w:r>
              <w:rPr>
                <w:sz w:val="16"/>
              </w:rPr>
              <w:t>, operating systems</w:t>
            </w:r>
          </w:p>
        </w:tc>
        <w:tc>
          <w:tcPr>
            <w:tcW w:type="dxa" w:w="3251"/>
          </w:tcPr>
          <w:p>
            <w:r>
              <w:rPr>
                <w:sz w:val="16"/>
              </w:rPr>
            </w:r>
            <w:r>
              <w:rPr>
                <w:sz w:val="16"/>
              </w:rPr>
              <w:t xml:space="preserve">self-assessment </w:t>
            </w:r>
            <w:r>
              <w:rPr>
                <w:b/>
                <w:sz w:val="16"/>
              </w:rPr>
              <w:t>only if harmonised standard applied</w:t>
            </w:r>
            <w:r>
              <w:rPr>
                <w:sz w:val="16"/>
              </w:rPr>
              <w:t>, else notified body</w:t>
            </w:r>
          </w:p>
        </w:tc>
      </w:tr>
      <w:tr>
        <w:tc>
          <w:tcPr>
            <w:tcW w:type="dxa" w:w="3251"/>
          </w:tcPr>
          <w:p>
            <w:r>
              <w:rPr>
                <w:sz w:val="16"/>
              </w:rPr>
            </w:r>
            <w:r>
              <w:rPr>
                <w:sz w:val="16"/>
              </w:rPr>
              <w:t>Important Class II</w:t>
            </w:r>
          </w:p>
        </w:tc>
        <w:tc>
          <w:tcPr>
            <w:tcW w:type="dxa" w:w="3251"/>
          </w:tcPr>
          <w:p>
            <w:r>
              <w:rPr>
                <w:sz w:val="16"/>
              </w:rPr>
            </w:r>
            <w:r>
              <w:rPr>
                <w:sz w:val="16"/>
              </w:rPr>
              <w:t>firewalls/IDS/IPS, tamper-resistant µP/µC</w:t>
            </w:r>
          </w:p>
        </w:tc>
        <w:tc>
          <w:tcPr>
            <w:tcW w:type="dxa" w:w="3251"/>
          </w:tcPr>
          <w:p>
            <w:r>
              <w:rPr>
                <w:sz w:val="16"/>
              </w:rPr>
            </w:r>
            <w:r>
              <w:rPr>
                <w:sz w:val="16"/>
              </w:rPr>
              <w:t>notified body</w:t>
            </w:r>
          </w:p>
        </w:tc>
      </w:tr>
      <w:tr>
        <w:tc>
          <w:tcPr>
            <w:tcW w:type="dxa" w:w="3251"/>
          </w:tcPr>
          <w:p>
            <w:r>
              <w:rPr>
                <w:sz w:val="16"/>
              </w:rPr>
            </w:r>
            <w:r>
              <w:rPr>
                <w:sz w:val="16"/>
              </w:rPr>
              <w:t>Critical (Annex IV)</w:t>
            </w:r>
          </w:p>
        </w:tc>
        <w:tc>
          <w:tcPr>
            <w:tcW w:type="dxa" w:w="3251"/>
          </w:tcPr>
          <w:p>
            <w:r>
              <w:rPr>
                <w:sz w:val="16"/>
              </w:rPr>
            </w:r>
            <w:r>
              <w:rPr>
                <w:sz w:val="16"/>
              </w:rPr>
              <w:t>security boxes, smart-meter gateways, smartcards/secure elements</w:t>
            </w:r>
          </w:p>
        </w:tc>
        <w:tc>
          <w:tcPr>
            <w:tcW w:type="dxa" w:w="3251"/>
          </w:tcPr>
          <w:p>
            <w:r>
              <w:rPr>
                <w:sz w:val="16"/>
              </w:rPr>
            </w:r>
            <w:r>
              <w:rPr>
                <w:sz w:val="16"/>
              </w:rPr>
              <w:t>EU cert scheme</w:t>
            </w:r>
          </w:p>
        </w:tc>
      </w:tr>
    </w:tbl>
    <w:p>
      <w:pPr>
        <w:spacing w:after="0"/>
      </w:pPr>
    </w:p>
    <w:p>
      <w:pPr>
        <w:pStyle w:val="berschrift1"/>
      </w:pPr>
      <w:r>
        <w:t>🔄 Duties during the support period</w:t>
      </w:r>
    </w:p>
    <w:p>
      <w:pPr>
        <w:spacing w:after="40"/>
        <w:ind w:left="425"/>
      </w:pPr>
      <w:r>
        <w:t xml:space="preserve">• </w:t>
      </w:r>
      <w:r>
        <w:rPr>
          <w:b/>
        </w:rPr>
        <w:t>Support period — Art 13(8):</w:t>
      </w:r>
      <w:r>
        <w:t xml:space="preserve"> "the support period shall be </w:t>
      </w:r>
      <w:r>
        <w:rPr>
          <w:b/>
        </w:rPr>
        <w:t>at least five years</w:t>
      </w:r>
      <w:r>
        <w:t xml:space="preserve">", set by expected time in use; Recital 60 expects </w:t>
      </w:r>
      <w:r>
        <w:rPr>
          <w:b/>
        </w:rPr>
        <w:t>longer</w:t>
      </w:r>
      <w:r>
        <w:t xml:space="preserve"> for "hardware components such as motherboards or microprocessors" and industrial products. ADLINK commercial line: 10–15-year industrial lifecycles, backed by Intel's free CRA baseline updates plus optional paid LTSC Extended / Premium Support (§10).</w:t>
      </w:r>
    </w:p>
    <w:p>
      <w:pPr>
        <w:spacing w:after="40"/>
        <w:ind w:left="425"/>
      </w:pPr>
      <w:r>
        <w:t xml:space="preserve">• </w:t>
      </w:r>
      <w:r>
        <w:rPr>
          <w:b/>
        </w:rPr>
        <w:t>Handle &amp; remediate vulnerabilities "without delay"</w:t>
      </w:r>
      <w:r>
        <w:t xml:space="preserve">, provide </w:t>
      </w:r>
      <w:r>
        <w:rPr>
          <w:b/>
        </w:rPr>
        <w:t>security updates free of charge</w:t>
      </w:r>
      <w:r>
        <w:t xml:space="preserve"> (Annex I Part II §2, §8). Risk-based: not every CVE needs a patch (FAQ 4.3.1).</w:t>
      </w:r>
    </w:p>
    <w:p>
      <w:pPr>
        <w:spacing w:after="40"/>
        <w:ind w:left="425"/>
      </w:pPr>
      <w:r>
        <w:t xml:space="preserve">• </w:t>
      </w:r>
      <w:r>
        <w:t xml:space="preserve">Each issued update stays </w:t>
      </w:r>
      <w:r>
        <w:rPr>
          <w:b/>
        </w:rPr>
        <w:t>available ≥10 years</w:t>
      </w:r>
      <w:r>
        <w:t xml:space="preserve"> or the rest of the support period, whichever is longer (Art 13(9)).</w:t>
      </w:r>
    </w:p>
    <w:p>
      <w:pPr>
        <w:spacing w:after="40"/>
        <w:ind w:left="425"/>
      </w:pPr>
      <w:r>
        <w:t xml:space="preserve">• </w:t>
      </w:r>
      <w:r>
        <w:t xml:space="preserve">Keep technical documentation + DoC </w:t>
      </w:r>
      <w:r>
        <w:rPr>
          <w:b/>
        </w:rPr>
        <w:t>≥10 years</w:t>
      </w:r>
      <w:r>
        <w:t xml:space="preserve"> or support period (Art 13(13)).</w:t>
      </w:r>
    </w:p>
    <w:p>
      <w:pPr>
        <w:spacing w:after="40"/>
        <w:ind w:left="425"/>
      </w:pPr>
      <w:r>
        <w:t xml:space="preserve">• </w:t>
      </w:r>
      <w:r>
        <w:t>End-of-support: date must be visible at purchase; notify users when reached (Art 13(19)).</w:t>
      </w:r>
    </w:p>
    <w:p>
      <w:pPr>
        <w:spacing w:after="40"/>
        <w:ind w:left="425"/>
      </w:pPr>
      <w:r>
        <w:t xml:space="preserve">• </w:t>
      </w:r>
      <w:r>
        <w:t xml:space="preserve">⚠ Liability trap: an Art 14 report filed while remediation stalls is documentary proof of "known but unfixed" → Product Liability Directive exposure. Report </w:t>
      </w:r>
      <w:r>
        <w:rPr>
          <w:i/>
        </w:rPr>
        <w:t>and</w:t>
      </w:r>
      <w:r>
        <w:t xml:space="preserve"> fix.</w:t>
      </w:r>
    </w:p>
    <w:p>
      <w:pPr>
        <w:pStyle w:val="berschrift1"/>
      </w:pPr>
      <w:r>
        <w:t>🔬 From SBOM to report — the artefacts</w:t>
      </w:r>
    </w:p>
    <w:p>
      <w:r>
        <w:t>How the artefacts connect during the support period:</w:t>
      </w:r>
    </w:p>
    <w:p>
      <w:pPr>
        <w:spacing w:after="0"/>
        <w:ind w:left="283"/>
      </w:pPr>
      <w:r>
        <w:rPr>
          <w:rFonts w:ascii="Courier New" w:hAnsi="Courier New"/>
          <w:sz w:val="16"/>
        </w:rPr>
        <w:t>SBOM (per release) → auto-match vs NVD/OSV (Dependency-Track)</w:t>
      </w:r>
    </w:p>
    <w:p>
      <w:pPr>
        <w:spacing w:after="0"/>
        <w:ind w:left="283"/>
      </w:pPr>
      <w:r>
        <w:rPr>
          <w:rFonts w:ascii="Courier New" w:hAnsi="Courier New"/>
          <w:sz w:val="16"/>
        </w:rPr>
        <w:t xml:space="preserve">  └─ CVE hit → risk assessment</w:t>
      </w:r>
    </w:p>
    <w:p>
      <w:pPr>
        <w:spacing w:after="0"/>
        <w:ind w:left="283"/>
      </w:pPr>
      <w:r>
        <w:rPr>
          <w:rFonts w:ascii="Courier New" w:hAnsi="Courier New"/>
          <w:sz w:val="16"/>
        </w:rPr>
        <w:t xml:space="preserve">       ├─ affected → fix + advisory + free signed update</w:t>
      </w:r>
    </w:p>
    <w:p>
      <w:pPr>
        <w:spacing w:after="0"/>
        <w:ind w:left="283"/>
      </w:pPr>
      <w:r>
        <w:rPr>
          <w:rFonts w:ascii="Courier New" w:hAnsi="Courier New"/>
          <w:sz w:val="16"/>
        </w:rPr>
        <w:t xml:space="preserve">       │     └─ actively exploited? → yes: Art 14 clocks (§9) / no: duty done</w:t>
      </w:r>
    </w:p>
    <w:p>
      <w:pPr>
        <w:spacing w:after="0"/>
        <w:ind w:left="283"/>
      </w:pPr>
      <w:r>
        <w:rPr>
          <w:rFonts w:ascii="Courier New" w:hAnsi="Courier New"/>
          <w:sz w:val="16"/>
        </w:rPr>
        <w:t xml:space="preserve">       └─ not exploitable → VEX "not affected" (documented, no patch)</w:t>
      </w:r>
    </w:p>
    <w:p>
      <w:pPr>
        <w:spacing w:after="0"/>
      </w:pPr>
    </w:p>
    <w:p>
      <w:pPr>
        <w:pStyle w:val="berschrift2"/>
      </w:pPr>
      <w:r>
        <w:t>SBOM — the parts list</w:t>
      </w:r>
    </w:p>
    <w:p>
      <w:r>
        <w:t xml:space="preserve">A real one from this folder: the Meteor Lake COM BIOS SBOM (MeteorLake_5.32_9AAMA_RC0D.E0.FD.30_5272.44_416_bios.cdx.json), generated with </w:t>
      </w:r>
      <w:r>
        <w:rPr>
          <w:b/>
        </w:rPr>
        <w:t>syft 1.28.0</w:t>
      </w:r>
      <w:r>
        <w:t xml:space="preserve"> (CycloneDX 1.6), </w:t>
      </w:r>
      <w:r>
        <w:rPr>
          <w:b/>
        </w:rPr>
        <w:t>1 670 firmware components</w:t>
      </w:r>
      <w:r>
        <w:t xml:space="preserve"> for one BIOS image:</w:t>
      </w:r>
    </w:p>
    <w:p>
      <w:pPr>
        <w:spacing w:after="0"/>
        <w:ind w:left="283"/>
      </w:pPr>
      <w:r>
        <w:rPr>
          <w:rFonts w:ascii="Courier New" w:hAnsi="Courier New"/>
          <w:sz w:val="16"/>
        </w:rPr>
        <w:t>{</w:t>
      </w:r>
    </w:p>
    <w:p>
      <w:pPr>
        <w:spacing w:after="0"/>
        <w:ind w:left="283"/>
      </w:pPr>
      <w:r>
        <w:rPr>
          <w:rFonts w:ascii="Courier New" w:hAnsi="Courier New"/>
          <w:sz w:val="16"/>
        </w:rPr>
        <w:t xml:space="preserve">  "bomFormat": "CycloneDX",</w:t>
      </w:r>
    </w:p>
    <w:p>
      <w:pPr>
        <w:spacing w:after="0"/>
        <w:ind w:left="283"/>
      </w:pPr>
      <w:r>
        <w:rPr>
          <w:rFonts w:ascii="Courier New" w:hAnsi="Courier New"/>
          <w:sz w:val="16"/>
        </w:rPr>
        <w:t xml:space="preserve">  "specVersion": "1.6",</w:t>
      </w:r>
    </w:p>
    <w:p>
      <w:pPr>
        <w:spacing w:after="0"/>
        <w:ind w:left="283"/>
      </w:pPr>
      <w:r>
        <w:rPr>
          <w:rFonts w:ascii="Courier New" w:hAnsi="Courier New"/>
          <w:sz w:val="16"/>
        </w:rPr>
        <w:t xml:space="preserve">  "metadata": {</w:t>
      </w:r>
    </w:p>
    <w:p>
      <w:pPr>
        <w:spacing w:after="0"/>
        <w:ind w:left="283"/>
      </w:pPr>
      <w:r>
        <w:rPr>
          <w:rFonts w:ascii="Courier New" w:hAnsi="Courier New"/>
          <w:sz w:val="16"/>
        </w:rPr>
        <w:t xml:space="preserve">    "timestamp": "2026-01-16T15:12:25+08:00",</w:t>
      </w:r>
    </w:p>
    <w:p>
      <w:pPr>
        <w:spacing w:after="0"/>
        <w:ind w:left="283"/>
      </w:pPr>
      <w:r>
        <w:rPr>
          <w:rFonts w:ascii="Courier New" w:hAnsi="Courier New"/>
          <w:sz w:val="16"/>
        </w:rPr>
        <w:t xml:space="preserve">    "component": { "name": ".../BIOS/MeteorLake_5.32_9AAMA_RC0D.E0.FD.30(5272.44)_416" }</w:t>
      </w:r>
    </w:p>
    <w:p>
      <w:pPr>
        <w:spacing w:after="0"/>
        <w:ind w:left="283"/>
      </w:pPr>
      <w:r>
        <w:rPr>
          <w:rFonts w:ascii="Courier New" w:hAnsi="Courier New"/>
          <w:sz w:val="16"/>
        </w:rPr>
        <w:t xml:space="preserve">  },</w:t>
      </w:r>
    </w:p>
    <w:p>
      <w:pPr>
        <w:spacing w:after="0"/>
        <w:ind w:left="283"/>
      </w:pPr>
      <w:r>
        <w:rPr>
          <w:rFonts w:ascii="Courier New" w:hAnsi="Courier New"/>
          <w:sz w:val="16"/>
        </w:rPr>
        <w:t xml:space="preserve">  "components": [</w:t>
      </w:r>
    </w:p>
    <w:p>
      <w:pPr>
        <w:spacing w:after="0"/>
        <w:ind w:left="283"/>
      </w:pPr>
      <w:r>
        <w:rPr>
          <w:rFonts w:ascii="Courier New" w:hAnsi="Courier New"/>
          <w:sz w:val="16"/>
        </w:rPr>
        <w:t xml:space="preserve">    {</w:t>
      </w:r>
    </w:p>
    <w:p>
      <w:pPr>
        <w:spacing w:after="0"/>
        <w:ind w:left="283"/>
      </w:pPr>
      <w:r>
        <w:rPr>
          <w:rFonts w:ascii="Courier New" w:hAnsi="Courier New"/>
          <w:sz w:val="16"/>
        </w:rPr>
        <w:t xml:space="preserve">      "type": "firmware",</w:t>
      </w:r>
    </w:p>
    <w:p>
      <w:pPr>
        <w:spacing w:after="0"/>
        <w:ind w:left="283"/>
      </w:pPr>
      <w:r>
        <w:rPr>
          <w:rFonts w:ascii="Courier New" w:hAnsi="Courier New"/>
          <w:sz w:val="16"/>
        </w:rPr>
        <w:t xml:space="preserve">      "name": "$/AptioV/.../NESGMeteorLake/ArlRcPkg/PlatPkg/Setup/VfrParser",</w:t>
      </w:r>
    </w:p>
    <w:p>
      <w:pPr>
        <w:spacing w:after="0"/>
        <w:ind w:left="283"/>
      </w:pPr>
      <w:r>
        <w:rPr>
          <w:rFonts w:ascii="Courier New" w:hAnsi="Courier New"/>
          <w:sz w:val="16"/>
        </w:rPr>
        <w:t xml:space="preserve">      "version": "IntelRcPkg_0D.E0.FD.30(5272.44)_011",</w:t>
      </w:r>
    </w:p>
    <w:p>
      <w:pPr>
        <w:spacing w:after="0"/>
        <w:ind w:left="283"/>
      </w:pPr>
      <w:r>
        <w:rPr>
          <w:rFonts w:ascii="Courier New" w:hAnsi="Courier New"/>
          <w:sz w:val="16"/>
        </w:rPr>
        <w:t xml:space="preserve">      "cpe":  "cpe:2.3:o:ami:$/AptioV/...:IntelRcPkg_0D.E0.FD.30(5272.44)_011:*:*:*:*:*:*:*",</w:t>
      </w:r>
    </w:p>
    <w:p>
      <w:pPr>
        <w:spacing w:after="0"/>
        <w:ind w:left="283"/>
      </w:pPr>
      <w:r>
        <w:rPr>
          <w:rFonts w:ascii="Courier New" w:hAnsi="Courier New"/>
          <w:sz w:val="16"/>
        </w:rPr>
        <w:t xml:space="preserve">      "purl": "pkg:ami/$/AptioV/.../VfrParser@IntelRcPkg_0D.E0.FD.30(5272.44)_011"</w:t>
      </w:r>
    </w:p>
    <w:p>
      <w:pPr>
        <w:spacing w:after="0"/>
        <w:ind w:left="283"/>
      </w:pPr>
      <w:r>
        <w:rPr>
          <w:rFonts w:ascii="Courier New" w:hAnsi="Courier New"/>
          <w:sz w:val="16"/>
        </w:rPr>
        <w:t xml:space="preserve">    }</w:t>
      </w:r>
    </w:p>
    <w:p>
      <w:pPr>
        <w:spacing w:after="0"/>
        <w:ind w:left="283"/>
      </w:pPr>
      <w:r>
        <w:rPr>
          <w:rFonts w:ascii="Courier New" w:hAnsi="Courier New"/>
          <w:sz w:val="16"/>
        </w:rPr>
        <w:t xml:space="preserve">  ]</w:t>
      </w:r>
    </w:p>
    <w:p>
      <w:pPr>
        <w:spacing w:after="0"/>
        <w:ind w:left="283"/>
      </w:pPr>
      <w:r>
        <w:rPr>
          <w:rFonts w:ascii="Courier New" w:hAnsi="Courier New"/>
          <w:sz w:val="16"/>
        </w:rPr>
        <w:t>}</w:t>
      </w:r>
    </w:p>
    <w:p>
      <w:pPr>
        <w:spacing w:after="0"/>
      </w:pPr>
    </w:p>
    <w:p>
      <w:r>
        <w:t xml:space="preserve">Why it satisfies Annex I Part II §1: </w:t>
      </w:r>
      <w:r>
        <w:rPr>
          <w:b/>
        </w:rPr>
        <w:t>machine-readable</w:t>
      </w:r>
      <w:r>
        <w:t xml:space="preserve">, one per release, and every component carries a </w:t>
      </w:r>
      <w:r>
        <w:rPr>
          <w:b/>
        </w:rPr>
        <w:t>`cpe`/`purl` identifier</w:t>
      </w:r>
      <w:r>
        <w:t xml:space="preserve"> — that is what lets a tool match it against vulnerability databases automatically. The supply chain is visible inside: AMI AptioV codebase + Intel reference code (</w:t>
      </w:r>
      <w:r>
        <w:rPr>
          <w:rFonts w:ascii="Courier New" w:hAnsi="Courier New"/>
        </w:rPr>
        <w:t>IntelRcPkg</w:t>
      </w:r>
      <w:r>
        <w:t>), the same Intel + AMI + ADLINK dependency chain that drives the EOL-silicon problem (§10).</w:t>
      </w:r>
    </w:p>
    <w:p>
      <w:pPr>
        <w:pStyle w:val="berschrift2"/>
      </w:pPr>
      <w:r>
        <w:t>CVE — the alarm bell</w:t>
      </w:r>
    </w:p>
    <w:p>
      <w:r>
        <w:t xml:space="preserve">A </w:t>
      </w:r>
      <w:r>
        <w:rPr>
          <w:b/>
        </w:rPr>
        <w:t>CVE</w:t>
      </w:r>
      <w:r>
        <w:t xml:space="preserve"> (Common Vulnerabilities and Exposures) is the public ID a disclosed vulnerability gets, scored 0–10 via </w:t>
      </w:r>
      <w:r>
        <w:rPr>
          <w:b/>
        </w:rPr>
        <w:t>CVSS</w:t>
      </w:r>
      <w:r>
        <w:t xml:space="preserve"> and mapped to affected products via CPE in the NVD database. A published one affecting the AMI AptioV codebase documented in the §8.1 SBOM (LogoFAIL family — crafted boot-logo images executing before the OS loads):</w:t>
      </w:r>
    </w:p>
    <w:p>
      <w:pPr>
        <w:spacing w:after="0"/>
        <w:ind w:left="283"/>
      </w:pPr>
      <w:r>
        <w:rPr>
          <w:rFonts w:ascii="Courier New" w:hAnsi="Courier New"/>
          <w:sz w:val="16"/>
        </w:rPr>
        <w:t>CVE-2023-39539                                    published 6 Dec 2023</w:t>
      </w:r>
    </w:p>
    <w:p>
      <w:pPr>
        <w:spacing w:after="0"/>
        <w:ind w:left="283"/>
      </w:pPr>
      <w:r>
        <w:rPr>
          <w:rFonts w:ascii="Courier New" w:hAnsi="Courier New"/>
          <w:sz w:val="16"/>
        </w:rPr>
        <w:t>Description : "AMI AptioV contains a vulnerability in BIOS where a User</w:t>
      </w:r>
    </w:p>
    <w:p>
      <w:pPr>
        <w:spacing w:after="0"/>
        <w:ind w:left="283"/>
      </w:pPr>
      <w:r>
        <w:rPr>
          <w:rFonts w:ascii="Courier New" w:hAnsi="Courier New"/>
          <w:sz w:val="16"/>
        </w:rPr>
        <w:t xml:space="preserve">               may cause an unrestricted upload of a PNG Logo file with</w:t>
      </w:r>
    </w:p>
    <w:p>
      <w:pPr>
        <w:spacing w:after="0"/>
        <w:ind w:left="283"/>
      </w:pPr>
      <w:r>
        <w:rPr>
          <w:rFonts w:ascii="Courier New" w:hAnsi="Courier New"/>
          <w:sz w:val="16"/>
        </w:rPr>
        <w:t xml:space="preserve">               dangerous type by Local access."</w:t>
      </w:r>
    </w:p>
    <w:p>
      <w:pPr>
        <w:spacing w:after="0"/>
        <w:ind w:left="283"/>
      </w:pPr>
      <w:r>
        <w:rPr>
          <w:rFonts w:ascii="Courier New" w:hAnsi="Courier New"/>
          <w:sz w:val="16"/>
        </w:rPr>
        <w:t>Severity    : CVSS 3.1 → 7.8 HIGH  (AV:L/AC:L/PR:L/UI:N/S:U/C:H/I:H/A:H)</w:t>
      </w:r>
    </w:p>
    <w:p>
      <w:pPr>
        <w:spacing w:after="0"/>
        <w:ind w:left="283"/>
      </w:pPr>
      <w:r>
        <w:rPr>
          <w:rFonts w:ascii="Courier New" w:hAnsi="Courier New"/>
          <w:sz w:val="16"/>
        </w:rPr>
        <w:t xml:space="preserve">               = Local access, Low complexity, no user interaction,</w:t>
      </w:r>
    </w:p>
    <w:p>
      <w:pPr>
        <w:spacing w:after="0"/>
        <w:ind w:left="283"/>
      </w:pPr>
      <w:r>
        <w:rPr>
          <w:rFonts w:ascii="Courier New" w:hAnsi="Courier New"/>
          <w:sz w:val="16"/>
        </w:rPr>
        <w:t xml:space="preserve">                 High impact on Confidentiality/Integrity/Availability</w:t>
      </w:r>
    </w:p>
    <w:p>
      <w:pPr>
        <w:spacing w:after="0"/>
        <w:ind w:left="283"/>
      </w:pPr>
      <w:r>
        <w:rPr>
          <w:rFonts w:ascii="Courier New" w:hAnsi="Courier New"/>
          <w:sz w:val="16"/>
        </w:rPr>
        <w:t>Affected    : AptioV BKS_5.0 &lt; BKS_5.34   ← auto-matched against the</w:t>
      </w:r>
    </w:p>
    <w:p>
      <w:pPr>
        <w:spacing w:after="0"/>
        <w:ind w:left="283"/>
      </w:pPr>
      <w:r>
        <w:rPr>
          <w:rFonts w:ascii="Courier New" w:hAnsi="Courier New"/>
          <w:sz w:val="16"/>
        </w:rPr>
        <w:t xml:space="preserve">               SBOM's  cpe:2.3:o:ami:...  entries (no manual audit of</w:t>
      </w:r>
    </w:p>
    <w:p>
      <w:pPr>
        <w:spacing w:after="0"/>
        <w:ind w:left="283"/>
      </w:pPr>
      <w:r>
        <w:rPr>
          <w:rFonts w:ascii="Courier New" w:hAnsi="Courier New"/>
          <w:sz w:val="16"/>
        </w:rPr>
        <w:t xml:space="preserve">               1 670 components)</w:t>
      </w:r>
    </w:p>
    <w:p>
      <w:pPr>
        <w:spacing w:after="0"/>
      </w:pPr>
    </w:p>
    <w:p>
      <w:r>
        <w:t xml:space="preserve">Match → </w:t>
      </w:r>
      <w:r>
        <w:rPr>
          <w:b/>
        </w:rPr>
        <w:t>risk assessment (§8.3)</w:t>
      </w:r>
      <w:r>
        <w:t xml:space="preserve"> decides: </w:t>
      </w:r>
      <w:r>
        <w:rPr>
          <w:i/>
        </w:rPr>
        <w:t>affected</w:t>
      </w:r>
      <w:r>
        <w:t xml:space="preserve"> → pull the fixed AMI module, ship a </w:t>
      </w:r>
      <w:r>
        <w:rPr>
          <w:b/>
        </w:rPr>
        <w:t>signed capsule update free of charge</w:t>
      </w:r>
      <w:r>
        <w:t xml:space="preserve"> + advisory; </w:t>
      </w:r>
      <w:r>
        <w:rPr>
          <w:i/>
        </w:rPr>
        <w:t>not affected</w:t>
      </w:r>
      <w:r>
        <w:t xml:space="preserve"> → record a VEX receipt (§8.4). Only a CVE that is being </w:t>
      </w:r>
      <w:r>
        <w:rPr>
          <w:b/>
        </w:rPr>
        <w:t>actively exploited</w:t>
      </w:r>
      <w:r>
        <w:t xml:space="preserve"> in the wild starts the Art 14 clocks (§9) — a merely published CVE is not a reportable event.</w:t>
      </w:r>
    </w:p>
    <w:p>
      <w:pPr>
        <w:pStyle w:val="berschrift2"/>
      </w:pPr>
      <w:r>
        <w:t>Risk assessment — the decision record</w:t>
      </w:r>
    </w:p>
    <w:p>
      <w:r>
        <w:t>Art 13(3): assess "the cybersecurity risks associated with a product with digital elements and take the outcome of that assessment into account during the planning, design, development…". Example of a module-level assessment as kept in the Annex VII technical file:</w:t>
      </w:r>
    </w:p>
    <w:tbl>
      <w:tblPr>
        <w:tblStyle w:val="Tabellenraster"/>
        <w:tblW w:type="auto" w:w="0"/>
        <w:tblLook w:firstColumn="1" w:firstRow="1" w:lastColumn="0" w:lastRow="0" w:noHBand="0" w:noVBand="1" w:val="04A0"/>
      </w:tblPr>
      <w:tblGrid>
        <w:gridCol w:w="1950"/>
        <w:gridCol w:w="1950"/>
        <w:gridCol w:w="1950"/>
        <w:gridCol w:w="1950"/>
        <w:gridCol w:w="1950"/>
      </w:tblGrid>
      <w:tr>
        <w:tc>
          <w:tcPr>
            <w:tcW w:type="dxa" w:w="1950"/>
          </w:tcPr>
          <w:p>
            <w:r>
              <w:rPr>
                <w:sz w:val="16"/>
              </w:rPr>
            </w:r>
            <w:r>
              <w:rPr>
                <w:b/>
                <w:sz w:val="16"/>
              </w:rPr>
              <w:t>#</w:t>
            </w:r>
          </w:p>
        </w:tc>
        <w:tc>
          <w:tcPr>
            <w:tcW w:type="dxa" w:w="1950"/>
          </w:tcPr>
          <w:p>
            <w:r>
              <w:rPr>
                <w:sz w:val="16"/>
              </w:rPr>
            </w:r>
            <w:r>
              <w:rPr>
                <w:b/>
                <w:sz w:val="16"/>
              </w:rPr>
              <w:t>Asset / interface</w:t>
            </w:r>
          </w:p>
        </w:tc>
        <w:tc>
          <w:tcPr>
            <w:tcW w:type="dxa" w:w="1950"/>
          </w:tcPr>
          <w:p>
            <w:r>
              <w:rPr>
                <w:sz w:val="16"/>
              </w:rPr>
            </w:r>
            <w:r>
              <w:rPr>
                <w:b/>
                <w:sz w:val="16"/>
              </w:rPr>
              <w:t>Threat</w:t>
            </w:r>
          </w:p>
        </w:tc>
        <w:tc>
          <w:tcPr>
            <w:tcW w:type="dxa" w:w="1950"/>
          </w:tcPr>
          <w:p>
            <w:r>
              <w:rPr>
                <w:sz w:val="16"/>
              </w:rPr>
            </w:r>
            <w:r>
              <w:rPr>
                <w:b/>
                <w:sz w:val="16"/>
              </w:rPr>
              <w:t>Risk</w:t>
            </w:r>
          </w:p>
        </w:tc>
        <w:tc>
          <w:tcPr>
            <w:tcW w:type="dxa" w:w="1950"/>
          </w:tcPr>
          <w:p>
            <w:r>
              <w:rPr>
                <w:sz w:val="16"/>
              </w:rPr>
            </w:r>
            <w:r>
              <w:rPr>
                <w:b/>
                <w:sz w:val="16"/>
              </w:rPr>
              <w:t>Decision (Annex I Part I anchor)</w:t>
            </w:r>
          </w:p>
        </w:tc>
      </w:tr>
      <w:tr>
        <w:tc>
          <w:tcPr>
            <w:tcW w:type="dxa" w:w="1950"/>
          </w:tcPr>
          <w:p>
            <w:r>
              <w:rPr>
                <w:sz w:val="16"/>
              </w:rPr>
            </w:r>
            <w:r>
              <w:rPr>
                <w:sz w:val="16"/>
              </w:rPr>
              <w:t>1</w:t>
            </w:r>
          </w:p>
        </w:tc>
        <w:tc>
          <w:tcPr>
            <w:tcW w:type="dxa" w:w="1950"/>
          </w:tcPr>
          <w:p>
            <w:r>
              <w:rPr>
                <w:sz w:val="16"/>
              </w:rPr>
            </w:r>
            <w:r>
              <w:rPr>
                <w:sz w:val="16"/>
              </w:rPr>
              <w:t>BIOS SPI flash</w:t>
            </w:r>
          </w:p>
        </w:tc>
        <w:tc>
          <w:tcPr>
            <w:tcW w:type="dxa" w:w="1950"/>
          </w:tcPr>
          <w:p>
            <w:r>
              <w:rPr>
                <w:sz w:val="16"/>
              </w:rPr>
            </w:r>
            <w:r>
              <w:rPr>
                <w:sz w:val="16"/>
              </w:rPr>
              <w:t>malicious reflash / implant</w:t>
            </w:r>
          </w:p>
        </w:tc>
        <w:tc>
          <w:tcPr>
            <w:tcW w:type="dxa" w:w="1950"/>
          </w:tcPr>
          <w:p>
            <w:r>
              <w:rPr>
                <w:sz w:val="16"/>
              </w:rPr>
            </w:r>
            <w:r>
              <w:rPr>
                <w:sz w:val="16"/>
              </w:rPr>
              <w:t>🔴 H</w:t>
            </w:r>
          </w:p>
        </w:tc>
        <w:tc>
          <w:tcPr>
            <w:tcW w:type="dxa" w:w="1950"/>
          </w:tcPr>
          <w:p>
            <w:r>
              <w:rPr>
                <w:sz w:val="16"/>
              </w:rPr>
            </w:r>
            <w:r>
              <w:rPr>
                <w:sz w:val="16"/>
              </w:rPr>
              <w:t xml:space="preserve">signed capsule updates only + Intel Boot Guard </w:t>
            </w:r>
            <w:r>
              <w:rPr>
                <w:i/>
                <w:sz w:val="16"/>
              </w:rPr>
              <w:t>(secure updates)</w:t>
            </w:r>
          </w:p>
        </w:tc>
      </w:tr>
      <w:tr>
        <w:tc>
          <w:tcPr>
            <w:tcW w:type="dxa" w:w="1950"/>
          </w:tcPr>
          <w:p>
            <w:r>
              <w:rPr>
                <w:sz w:val="16"/>
              </w:rPr>
            </w:r>
            <w:r>
              <w:rPr>
                <w:sz w:val="16"/>
              </w:rPr>
              <w:t>2</w:t>
            </w:r>
          </w:p>
        </w:tc>
        <w:tc>
          <w:tcPr>
            <w:tcW w:type="dxa" w:w="1950"/>
          </w:tcPr>
          <w:p>
            <w:r>
              <w:rPr>
                <w:sz w:val="16"/>
              </w:rPr>
            </w:r>
            <w:r>
              <w:rPr>
                <w:sz w:val="16"/>
              </w:rPr>
              <w:t>Boot logo parser (§8.2)</w:t>
            </w:r>
          </w:p>
        </w:tc>
        <w:tc>
          <w:tcPr>
            <w:tcW w:type="dxa" w:w="1950"/>
          </w:tcPr>
          <w:p>
            <w:r>
              <w:rPr>
                <w:sz w:val="16"/>
              </w:rPr>
            </w:r>
            <w:r>
              <w:rPr>
                <w:sz w:val="16"/>
              </w:rPr>
              <w:t>LogoFAIL-class code execution</w:t>
            </w:r>
          </w:p>
        </w:tc>
        <w:tc>
          <w:tcPr>
            <w:tcW w:type="dxa" w:w="1950"/>
          </w:tcPr>
          <w:p>
            <w:r>
              <w:rPr>
                <w:sz w:val="16"/>
              </w:rPr>
            </w:r>
            <w:r>
              <w:rPr>
                <w:sz w:val="16"/>
              </w:rPr>
              <w:t>🟠 M</w:t>
            </w:r>
          </w:p>
        </w:tc>
        <w:tc>
          <w:tcPr>
            <w:tcW w:type="dxa" w:w="1950"/>
          </w:tcPr>
          <w:p>
            <w:r>
              <w:rPr>
                <w:sz w:val="16"/>
              </w:rPr>
            </w:r>
            <w:r>
              <w:rPr>
                <w:sz w:val="16"/>
              </w:rPr>
              <w:t xml:space="preserve">patched AMI module; logo not user-replaceable </w:t>
            </w:r>
            <w:r>
              <w:rPr>
                <w:i/>
                <w:sz w:val="16"/>
              </w:rPr>
              <w:t>(no known exploitable vulns)</w:t>
            </w:r>
          </w:p>
        </w:tc>
      </w:tr>
      <w:tr>
        <w:tc>
          <w:tcPr>
            <w:tcW w:type="dxa" w:w="1950"/>
          </w:tcPr>
          <w:p>
            <w:r>
              <w:rPr>
                <w:sz w:val="16"/>
              </w:rPr>
            </w:r>
            <w:r>
              <w:rPr>
                <w:sz w:val="16"/>
              </w:rPr>
              <w:t>3</w:t>
            </w:r>
          </w:p>
        </w:tc>
        <w:tc>
          <w:tcPr>
            <w:tcW w:type="dxa" w:w="1950"/>
          </w:tcPr>
          <w:p>
            <w:r>
              <w:rPr>
                <w:sz w:val="16"/>
              </w:rPr>
            </w:r>
            <w:r>
              <w:rPr>
                <w:sz w:val="16"/>
              </w:rPr>
              <w:t>Debug UART / JTAG</w:t>
            </w:r>
          </w:p>
        </w:tc>
        <w:tc>
          <w:tcPr>
            <w:tcW w:type="dxa" w:w="1950"/>
          </w:tcPr>
          <w:p>
            <w:r>
              <w:rPr>
                <w:sz w:val="16"/>
              </w:rPr>
            </w:r>
            <w:r>
              <w:rPr>
                <w:sz w:val="16"/>
              </w:rPr>
              <w:t>local takeover</w:t>
            </w:r>
          </w:p>
        </w:tc>
        <w:tc>
          <w:tcPr>
            <w:tcW w:type="dxa" w:w="1950"/>
          </w:tcPr>
          <w:p>
            <w:r>
              <w:rPr>
                <w:sz w:val="16"/>
              </w:rPr>
            </w:r>
            <w:r>
              <w:rPr>
                <w:sz w:val="16"/>
              </w:rPr>
              <w:t>🟠 M</w:t>
            </w:r>
          </w:p>
        </w:tc>
        <w:tc>
          <w:tcPr>
            <w:tcW w:type="dxa" w:w="1950"/>
          </w:tcPr>
          <w:p>
            <w:r>
              <w:rPr>
                <w:sz w:val="16"/>
              </w:rPr>
            </w:r>
            <w:r>
              <w:rPr>
                <w:sz w:val="16"/>
              </w:rPr>
              <w:t xml:space="preserve">disabled by default, fuse-lockable </w:t>
            </w:r>
            <w:r>
              <w:rPr>
                <w:i/>
                <w:sz w:val="16"/>
              </w:rPr>
              <w:t>(secure-by-default, attack surface)</w:t>
            </w:r>
          </w:p>
        </w:tc>
      </w:tr>
      <w:tr>
        <w:tc>
          <w:tcPr>
            <w:tcW w:type="dxa" w:w="1950"/>
          </w:tcPr>
          <w:p>
            <w:r>
              <w:rPr>
                <w:sz w:val="16"/>
              </w:rPr>
            </w:r>
            <w:r>
              <w:rPr>
                <w:sz w:val="16"/>
              </w:rPr>
              <w:t>4</w:t>
            </w:r>
          </w:p>
        </w:tc>
        <w:tc>
          <w:tcPr>
            <w:tcW w:type="dxa" w:w="1950"/>
          </w:tcPr>
          <w:p>
            <w:r>
              <w:rPr>
                <w:sz w:val="16"/>
              </w:rPr>
            </w:r>
            <w:r>
              <w:rPr>
                <w:sz w:val="16"/>
              </w:rPr>
              <w:t>OS / customer app stack</w:t>
            </w:r>
          </w:p>
        </w:tc>
        <w:tc>
          <w:tcPr>
            <w:tcW w:type="dxa" w:w="1950"/>
          </w:tcPr>
          <w:p>
            <w:r>
              <w:rPr>
                <w:sz w:val="16"/>
              </w:rPr>
            </w:r>
            <w:r>
              <w:rPr>
                <w:sz w:val="16"/>
              </w:rPr>
              <w:t>any</w:t>
            </w:r>
          </w:p>
        </w:tc>
        <w:tc>
          <w:tcPr>
            <w:tcW w:type="dxa" w:w="1950"/>
          </w:tcPr>
          <w:p>
            <w:r>
              <w:rPr>
                <w:sz w:val="16"/>
              </w:rPr>
            </w:r>
            <w:r>
              <w:rPr>
                <w:sz w:val="16"/>
              </w:rPr>
              <w:t>⚪ n/a</w:t>
            </w:r>
          </w:p>
        </w:tc>
        <w:tc>
          <w:tcPr>
            <w:tcW w:type="dxa" w:w="1950"/>
          </w:tcPr>
          <w:p>
            <w:r>
              <w:rPr>
                <w:sz w:val="16"/>
              </w:rPr>
            </w:r>
            <w:r>
              <w:rPr>
                <w:b/>
                <w:sz w:val="16"/>
              </w:rPr>
              <w:t>out of scope — OS not part of the product; documented exclusion</w:t>
            </w:r>
            <w:r>
              <w:rPr>
                <w:sz w:val="16"/>
              </w:rPr>
              <w:t xml:space="preserve"> (ATGD §4.4, §10 below)</w:t>
            </w:r>
          </w:p>
        </w:tc>
      </w:tr>
    </w:tbl>
    <w:p>
      <w:pPr>
        <w:spacing w:after="0"/>
      </w:pPr>
    </w:p>
    <w:p>
      <w:r>
        <w:t xml:space="preserve">Row 4 documents the responsibility boundary in writing: the risk assessment is </w:t>
      </w:r>
      <w:r>
        <w:rPr>
          <w:b/>
        </w:rPr>
        <w:t>where ADLINK's exclusions become legally visible</w:t>
      </w:r>
      <w:r>
        <w:t xml:space="preserve">. The same applies to the declared </w:t>
      </w:r>
      <w:r>
        <w:rPr>
          <w:b/>
        </w:rPr>
        <w:t>intended purpose</w:t>
      </w:r>
      <w:r>
        <w:t xml:space="preserve"> — it is a legal scope boundary, and OEM deployment outside it is not ADLINK's risk to cover (FAQ 4.1.4).</w:t>
      </w:r>
    </w:p>
    <w:p>
      <w:pPr>
        <w:pStyle w:val="Zitat"/>
      </w:pPr>
      <w:r>
        <w:t xml:space="preserve">🛜 </w:t>
      </w:r>
      <w:r>
        <w:rPr>
          <w:b/>
        </w:rPr>
        <w:t>Worked example (EU FAQ 4.3.1)</w:t>
      </w:r>
      <w:r>
        <w:t xml:space="preserve"> — the canonical "not every CVE needs a patch": "a manufacturer of a Wi-Fi router finds a buffer overflow vulnerability in one of the software libraries contained in the router's firmware; the manufacturer's </w:t>
      </w:r>
      <w:r>
        <w:rPr>
          <w:b/>
        </w:rPr>
        <w:t>risk assessment, however, shows that the vulnerability cannot be exploited, as the library functions are never called</w:t>
      </w:r>
      <w:r>
        <w:t xml:space="preserve"> in the firmware. The manufacturer may be expected … to </w:t>
      </w:r>
      <w:r>
        <w:rPr>
          <w:b/>
        </w:rPr>
        <w:t>document the vulnerability, but may decide not to fix it</w:t>
      </w:r>
      <w:r>
        <w:t xml:space="preserve"> with a dedicated update … [and] to remove the unused library in its next regular firmware release." → the documented decision, not the patch, is the compliance artefact.</w:t>
      </w:r>
    </w:p>
    <w:p>
      <w:pPr>
        <w:pStyle w:val="berschrift2"/>
      </w:pPr>
      <w:r>
        <w:t>VEX — the "no patch needed" receipt</w:t>
      </w:r>
    </w:p>
    <w:p>
      <w:r>
        <w:t>The machine-readable form of that documented decision (OpenVEX; customers feed it into their own scanners, so an ADLINK "not affected" silences their alerts too):</w:t>
      </w:r>
    </w:p>
    <w:p>
      <w:pPr>
        <w:spacing w:after="0"/>
        <w:ind w:left="283"/>
      </w:pPr>
      <w:r>
        <w:rPr>
          <w:rFonts w:ascii="Courier New" w:hAnsi="Courier New"/>
          <w:sz w:val="16"/>
        </w:rPr>
        <w:t>{</w:t>
      </w:r>
    </w:p>
    <w:p>
      <w:pPr>
        <w:spacing w:after="0"/>
        <w:ind w:left="283"/>
      </w:pPr>
      <w:r>
        <w:rPr>
          <w:rFonts w:ascii="Courier New" w:hAnsi="Courier New"/>
          <w:sz w:val="16"/>
        </w:rPr>
        <w:t xml:space="preserve">  "statements": [{</w:t>
      </w:r>
    </w:p>
    <w:p>
      <w:pPr>
        <w:spacing w:after="0"/>
        <w:ind w:left="283"/>
      </w:pPr>
      <w:r>
        <w:rPr>
          <w:rFonts w:ascii="Courier New" w:hAnsi="Courier New"/>
          <w:sz w:val="16"/>
        </w:rPr>
        <w:t xml:space="preserve">    "vulnerability": { "name": "CVE-2023-39539" },</w:t>
      </w:r>
    </w:p>
    <w:p>
      <w:pPr>
        <w:spacing w:after="0"/>
        <w:ind w:left="283"/>
      </w:pPr>
      <w:r>
        <w:rPr>
          <w:rFonts w:ascii="Courier New" w:hAnsi="Courier New"/>
          <w:sz w:val="16"/>
        </w:rPr>
        <w:t xml:space="preserve">    "products": [ "pkg:ami/AptioV/MeteorLake_5.32_9AAMA@RC0D.E0.FD.30(5272.44)_416" ],</w:t>
      </w:r>
    </w:p>
    <w:p>
      <w:pPr>
        <w:spacing w:after="0"/>
        <w:ind w:left="283"/>
      </w:pPr>
      <w:r>
        <w:rPr>
          <w:rFonts w:ascii="Courier New" w:hAnsi="Courier New"/>
          <w:sz w:val="16"/>
        </w:rPr>
        <w:t xml:space="preserve">    "status": "not_affected",</w:t>
      </w:r>
    </w:p>
    <w:p>
      <w:pPr>
        <w:spacing w:after="0"/>
        <w:ind w:left="283"/>
      </w:pPr>
      <w:r>
        <w:rPr>
          <w:rFonts w:ascii="Courier New" w:hAnsi="Courier New"/>
          <w:sz w:val="16"/>
        </w:rPr>
        <w:t xml:space="preserve">    "justification": "vulnerable_code_not_in_execute_path"</w:t>
      </w:r>
    </w:p>
    <w:p>
      <w:pPr>
        <w:spacing w:after="0"/>
        <w:ind w:left="283"/>
      </w:pPr>
      <w:r>
        <w:rPr>
          <w:rFonts w:ascii="Courier New" w:hAnsi="Courier New"/>
          <w:sz w:val="16"/>
        </w:rPr>
        <w:t xml:space="preserve">  }]</w:t>
      </w:r>
    </w:p>
    <w:p>
      <w:pPr>
        <w:spacing w:after="0"/>
        <w:ind w:left="283"/>
      </w:pPr>
      <w:r>
        <w:rPr>
          <w:rFonts w:ascii="Courier New" w:hAnsi="Courier New"/>
          <w:sz w:val="16"/>
        </w:rPr>
        <w:t>}</w:t>
      </w:r>
    </w:p>
    <w:p>
      <w:pPr>
        <w:spacing w:after="0"/>
      </w:pPr>
    </w:p>
    <w:p>
      <w:r>
        <w:t>One statement per CVE-per-product turns a "don't patch" decision (§8.3) into auditable Annex I Part II §2 evidence — and stops 1 670 components' worth of false-positive alarms at every customer running the SBOM through a scanner.</w:t>
      </w:r>
    </w:p>
    <w:p>
      <w:pPr>
        <w:pStyle w:val="berschrift1"/>
      </w:pPr>
      <w:r>
        <w:t>⏱ Art 14 reporting — the clocks</w:t>
      </w:r>
    </w:p>
    <w:tbl>
      <w:tblPr>
        <w:tblStyle w:val="Tabellenraster"/>
        <w:tblW w:type="auto" w:w="0"/>
        <w:tblLook w:firstColumn="1" w:firstRow="1" w:lastColumn="0" w:lastRow="0" w:noHBand="0" w:noVBand="1" w:val="04A0"/>
      </w:tblPr>
      <w:tblGrid>
        <w:gridCol w:w="2438"/>
        <w:gridCol w:w="2438"/>
        <w:gridCol w:w="2438"/>
        <w:gridCol w:w="2438"/>
      </w:tblGrid>
      <w:tr>
        <w:tc>
          <w:tcPr>
            <w:tcW w:type="dxa" w:w="2438"/>
          </w:tcPr>
          <w:p>
            <w:r>
              <w:rPr>
                <w:sz w:val="16"/>
              </w:rPr>
            </w:r>
            <w:r>
              <w:rPr>
                <w:b/>
                <w:sz w:val="16"/>
              </w:rPr>
              <w:t xml:space="preserve">Trigger (from </w:t>
            </w:r>
            <w:r>
              <w:rPr>
                <w:b/>
                <w:sz w:val="16"/>
              </w:rPr>
              <w:t>awareness</w:t>
            </w:r>
            <w:r>
              <w:rPr>
                <w:b/>
                <w:sz w:val="16"/>
              </w:rPr>
              <w:t>)</w:t>
            </w:r>
          </w:p>
        </w:tc>
        <w:tc>
          <w:tcPr>
            <w:tcW w:type="dxa" w:w="2438"/>
          </w:tcPr>
          <w:p>
            <w:r>
              <w:rPr>
                <w:sz w:val="16"/>
              </w:rPr>
            </w:r>
            <w:r>
              <w:rPr>
                <w:b/>
                <w:sz w:val="16"/>
              </w:rPr>
              <w:t>24 h</w:t>
            </w:r>
          </w:p>
        </w:tc>
        <w:tc>
          <w:tcPr>
            <w:tcW w:type="dxa" w:w="2438"/>
          </w:tcPr>
          <w:p>
            <w:r>
              <w:rPr>
                <w:sz w:val="16"/>
              </w:rPr>
            </w:r>
            <w:r>
              <w:rPr>
                <w:b/>
                <w:sz w:val="16"/>
              </w:rPr>
              <w:t>72 h</w:t>
            </w:r>
          </w:p>
        </w:tc>
        <w:tc>
          <w:tcPr>
            <w:tcW w:type="dxa" w:w="2438"/>
          </w:tcPr>
          <w:p>
            <w:r>
              <w:rPr>
                <w:sz w:val="16"/>
              </w:rPr>
            </w:r>
            <w:r>
              <w:rPr>
                <w:b/>
                <w:sz w:val="16"/>
              </w:rPr>
              <w:t>Final report</w:t>
            </w:r>
          </w:p>
        </w:tc>
      </w:tr>
      <w:tr>
        <w:tc>
          <w:tcPr>
            <w:tcW w:type="dxa" w:w="2438"/>
          </w:tcPr>
          <w:p>
            <w:r>
              <w:rPr>
                <w:sz w:val="16"/>
              </w:rPr>
            </w:r>
            <w:r>
              <w:rPr>
                <w:b/>
                <w:sz w:val="16"/>
              </w:rPr>
              <w:t>Actively exploited vulnerability</w:t>
            </w:r>
          </w:p>
        </w:tc>
        <w:tc>
          <w:tcPr>
            <w:tcW w:type="dxa" w:w="2438"/>
          </w:tcPr>
          <w:p>
            <w:r>
              <w:rPr>
                <w:sz w:val="16"/>
              </w:rPr>
            </w:r>
            <w:r>
              <w:rPr>
                <w:sz w:val="16"/>
              </w:rPr>
              <w:t>early warning</w:t>
            </w:r>
          </w:p>
        </w:tc>
        <w:tc>
          <w:tcPr>
            <w:tcW w:type="dxa" w:w="2438"/>
          </w:tcPr>
          <w:p>
            <w:r>
              <w:rPr>
                <w:sz w:val="16"/>
              </w:rPr>
            </w:r>
            <w:r>
              <w:rPr>
                <w:sz w:val="16"/>
              </w:rPr>
              <w:t>vulnerability notification</w:t>
            </w:r>
          </w:p>
        </w:tc>
        <w:tc>
          <w:tcPr>
            <w:tcW w:type="dxa" w:w="2438"/>
          </w:tcPr>
          <w:p>
            <w:r>
              <w:rPr>
                <w:sz w:val="16"/>
              </w:rPr>
            </w:r>
            <w:r>
              <w:rPr>
                <w:sz w:val="16"/>
              </w:rPr>
              <w:t xml:space="preserve">≤ </w:t>
            </w:r>
            <w:r>
              <w:rPr>
                <w:b/>
                <w:sz w:val="16"/>
              </w:rPr>
              <w:t>14 days</w:t>
            </w:r>
            <w:r>
              <w:rPr>
                <w:sz w:val="16"/>
              </w:rPr>
              <w:t xml:space="preserve"> after a fix is available</w:t>
            </w:r>
          </w:p>
        </w:tc>
      </w:tr>
      <w:tr>
        <w:tc>
          <w:tcPr>
            <w:tcW w:type="dxa" w:w="2438"/>
          </w:tcPr>
          <w:p>
            <w:r>
              <w:rPr>
                <w:sz w:val="16"/>
              </w:rPr>
            </w:r>
            <w:r>
              <w:rPr>
                <w:b/>
                <w:sz w:val="16"/>
              </w:rPr>
              <w:t>Severe incident</w:t>
            </w:r>
          </w:p>
        </w:tc>
        <w:tc>
          <w:tcPr>
            <w:tcW w:type="dxa" w:w="2438"/>
          </w:tcPr>
          <w:p>
            <w:r>
              <w:rPr>
                <w:sz w:val="16"/>
              </w:rPr>
            </w:r>
            <w:r>
              <w:rPr>
                <w:sz w:val="16"/>
              </w:rPr>
              <w:t>early warning</w:t>
            </w:r>
          </w:p>
        </w:tc>
        <w:tc>
          <w:tcPr>
            <w:tcW w:type="dxa" w:w="2438"/>
          </w:tcPr>
          <w:p>
            <w:r>
              <w:rPr>
                <w:sz w:val="16"/>
              </w:rPr>
            </w:r>
            <w:r>
              <w:rPr>
                <w:sz w:val="16"/>
              </w:rPr>
              <w:t>incident notification</w:t>
            </w:r>
          </w:p>
        </w:tc>
        <w:tc>
          <w:tcPr>
            <w:tcW w:type="dxa" w:w="2438"/>
          </w:tcPr>
          <w:p>
            <w:r>
              <w:rPr>
                <w:sz w:val="16"/>
              </w:rPr>
            </w:r>
            <w:r>
              <w:rPr>
                <w:sz w:val="16"/>
              </w:rPr>
              <w:t xml:space="preserve">≤ </w:t>
            </w:r>
            <w:r>
              <w:rPr>
                <w:b/>
                <w:sz w:val="16"/>
              </w:rPr>
              <w:t>1 month</w:t>
            </w:r>
            <w:r>
              <w:rPr>
                <w:sz w:val="16"/>
              </w:rPr>
              <w:t xml:space="preserve"> after notification</w:t>
            </w:r>
          </w:p>
        </w:tc>
      </w:tr>
    </w:tbl>
    <w:p>
      <w:pPr>
        <w:spacing w:after="0"/>
      </w:pPr>
    </w:p>
    <w:p>
      <w:pPr>
        <w:spacing w:after="0"/>
        <w:ind w:left="283"/>
      </w:pPr>
      <w:r>
        <w:rPr>
          <w:rFonts w:ascii="Courier New" w:hAnsi="Courier New"/>
          <w:sz w:val="16"/>
        </w:rPr>
        <w:t>Customer / researcher → PSIRT (psirt@adlinktech.com) → ADTW (Taiwan, manufacturer)</w:t>
      </w:r>
    </w:p>
    <w:p>
      <w:pPr>
        <w:spacing w:after="0"/>
        <w:ind w:left="283"/>
      </w:pPr>
      <w:r>
        <w:rPr>
          <w:rFonts w:ascii="Courier New" w:hAnsi="Courier New"/>
          <w:sz w:val="16"/>
        </w:rPr>
        <w:t xml:space="preserve">  → (English) → ATG (Germany, EU auth. rep + importer)</w:t>
      </w:r>
    </w:p>
    <w:p>
      <w:pPr>
        <w:spacing w:after="0"/>
        <w:ind w:left="283"/>
      </w:pPr>
      <w:r>
        <w:rPr>
          <w:rFonts w:ascii="Courier New" w:hAnsi="Courier New"/>
          <w:sz w:val="16"/>
        </w:rPr>
        <w:t xml:space="preserve">       ├─ 24 h / 72 h / final → German CSIRT (BSI) via ENISA single reporting platform</w:t>
      </w:r>
    </w:p>
    <w:p>
      <w:pPr>
        <w:spacing w:after="0"/>
        <w:ind w:left="283"/>
      </w:pPr>
      <w:r>
        <w:rPr>
          <w:rFonts w:ascii="Courier New" w:hAnsi="Courier New"/>
          <w:sz w:val="16"/>
        </w:rPr>
        <w:t xml:space="preserve">       └─ Art 14(8) → impacted users (advisory, machine-readable)</w:t>
      </w:r>
    </w:p>
    <w:p>
      <w:pPr>
        <w:spacing w:after="0"/>
      </w:pPr>
    </w:p>
    <w:p>
      <w:pPr>
        <w:spacing w:after="40"/>
        <w:ind w:left="425"/>
      </w:pPr>
      <w:r>
        <w:t xml:space="preserve">• </w:t>
      </w:r>
      <w:r>
        <w:t xml:space="preserve">Germany is the end-point because ATG is ADLINK's </w:t>
      </w:r>
      <w:r>
        <w:rPr>
          <w:b/>
        </w:rPr>
        <w:t>main establishment</w:t>
      </w:r>
      <w:r>
        <w:t xml:space="preserve"> in the EU (Art 14(7): most EU employees).</w:t>
      </w:r>
    </w:p>
    <w:p>
      <w:pPr>
        <w:spacing w:after="40"/>
        <w:ind w:left="425"/>
      </w:pPr>
      <w:r>
        <w:t xml:space="preserve">• </w:t>
      </w:r>
      <w:r>
        <w:t xml:space="preserve">ATGD recommendation (§4.3 of the line-of-reasoning): </w:t>
      </w:r>
      <w:r>
        <w:rPr>
          <w:b/>
        </w:rPr>
        <w:t>named reporting owners with deputies</w:t>
      </w:r>
      <w:r>
        <w:t xml:space="preserve"> (substitution policy) — the 24 h clock does not pause for vacation or time zones.</w:t>
      </w:r>
    </w:p>
    <w:p>
      <w:pPr>
        <w:spacing w:after="40"/>
        <w:ind w:left="425"/>
      </w:pPr>
      <w:r>
        <w:t xml:space="preserve">• </w:t>
      </w:r>
      <w:r>
        <w:t>Internal intake flow: sequence of activities in this document (§15.2); roles and ownership still WiP (§16).</w:t>
      </w:r>
    </w:p>
    <w:p>
      <w:pPr>
        <w:pStyle w:val="berschrift1"/>
      </w:pPr>
      <w:r>
        <w:t>🏛 ADLINK positions (settled)</w:t>
      </w:r>
    </w:p>
    <w:p>
      <w:pPr>
        <w:spacing w:after="40"/>
        <w:ind w:left="425"/>
      </w:pPr>
      <w:r>
        <w:t xml:space="preserve">1. </w:t>
      </w:r>
      <w:r>
        <w:rPr>
          <w:b/>
        </w:rPr>
        <w:t>Entity split:</w:t>
      </w:r>
      <w:r>
        <w:t xml:space="preserve"> ADTW (Taiwan) = manufacturer; </w:t>
      </w:r>
      <w:r>
        <w:rPr>
          <w:b/>
        </w:rPr>
        <w:t>ATG (Germany) = EU authorised representative (Art 18) + importer (Art 19)</w:t>
      </w:r>
      <w:r>
        <w:t xml:space="preserve"> and reporting hub.</w:t>
      </w:r>
    </w:p>
    <w:p>
      <w:pPr>
        <w:spacing w:after="40"/>
        <w:ind w:left="425"/>
      </w:pPr>
      <w:r>
        <w:t xml:space="preserve">2. </w:t>
      </w:r>
      <w:r>
        <w:rPr>
          <w:b/>
        </w:rPr>
        <w:t>OS/BSP responsibility follows what is shipped</w:t>
      </w:r>
      <w:r>
        <w:t xml:space="preserve"> (decision tree in adlink-os-and-bsp-responsability.png; Readiness Statement scope explicitly includes "device drivers, and pre-installed operating system images"):</w:t>
      </w:r>
    </w:p>
    <w:p>
      <w:pPr>
        <w:spacing w:after="0"/>
        <w:ind w:left="283"/>
      </w:pPr>
      <w:r>
        <w:rPr>
          <w:rFonts w:ascii="Courier New" w:hAnsi="Courier New"/>
          <w:sz w:val="16"/>
        </w:rPr>
        <w:t>HW ships with OS image?</w:t>
      </w:r>
    </w:p>
    <w:p>
      <w:pPr>
        <w:spacing w:after="0"/>
        <w:ind w:left="283"/>
      </w:pPr>
      <w:r>
        <w:rPr>
          <w:rFonts w:ascii="Courier New" w:hAnsi="Courier New"/>
          <w:sz w:val="16"/>
        </w:rPr>
        <w:t xml:space="preserve">  ├─ yes, commercial OS (Windows/Ubuntu) → ADLINK: SBOM + vuln monitoring; OS vendor: long-term support</w:t>
      </w:r>
    </w:p>
    <w:p>
      <w:pPr>
        <w:spacing w:after="0"/>
        <w:ind w:left="283"/>
      </w:pPr>
      <w:r>
        <w:rPr>
          <w:rFonts w:ascii="Courier New" w:hAnsi="Courier New"/>
          <w:sz w:val="16"/>
        </w:rPr>
        <w:t xml:space="preserve">  ├─ yes, ADLINK BSP/OS image → ADLINK: FULL CRA duty — maintain BSP (GitHub), SBOM, vuln monitoring, LTS</w:t>
      </w:r>
    </w:p>
    <w:p>
      <w:pPr>
        <w:spacing w:after="0"/>
        <w:ind w:left="283"/>
      </w:pPr>
      <w:r>
        <w:rPr>
          <w:rFonts w:ascii="Courier New" w:hAnsi="Courier New"/>
          <w:sz w:val="16"/>
        </w:rPr>
        <w:t xml:space="preserve">  └─ no OS image → BSP source delivered?</w:t>
      </w:r>
    </w:p>
    <w:p>
      <w:pPr>
        <w:spacing w:after="0"/>
        <w:ind w:left="283"/>
      </w:pPr>
      <w:r>
        <w:rPr>
          <w:rFonts w:ascii="Courier New" w:hAnsi="Courier New"/>
          <w:sz w:val="16"/>
        </w:rPr>
        <w:t xml:space="preserve">        ├─ yes → ADLINK: maintain BSP, SBOM, regular updates</w:t>
      </w:r>
    </w:p>
    <w:p>
      <w:pPr>
        <w:spacing w:after="0"/>
        <w:ind w:left="283"/>
      </w:pPr>
      <w:r>
        <w:rPr>
          <w:rFonts w:ascii="Courier New" w:hAnsi="Courier New"/>
          <w:sz w:val="16"/>
        </w:rPr>
        <w:t xml:space="preserve">        └─ no  → no CRA duty on the OS layer</w:t>
      </w:r>
    </w:p>
    <w:p>
      <w:pPr>
        <w:spacing w:after="0"/>
      </w:pPr>
    </w:p>
    <w:p>
      <w:r>
        <w:t>Customer-installed OS and third-party software ADLINK neither develops nor maintains stay excluded via the documented risk assessment (ATGD §4.4.2, §8.3 row 4).</w:t>
      </w:r>
    </w:p>
    <w:p>
      <w:pPr>
        <w:spacing w:after="40"/>
        <w:ind w:left="425"/>
      </w:pPr>
      <w:r>
        <w:t xml:space="preserve">3. </w:t>
      </w:r>
      <w:r>
        <w:rPr>
          <w:b/>
        </w:rPr>
        <w:t>Customer enablement package</w:t>
      </w:r>
      <w:r>
        <w:t xml:space="preserve"> (Art 13(5) due diligence input): SBOM, DoC/CE (post-2027), security advisories, declared support period — the customer still owns compliance of </w:t>
      </w:r>
      <w:r>
        <w:rPr>
          <w:i/>
        </w:rPr>
        <w:t>their</w:t>
      </w:r>
      <w:r>
        <w:t xml:space="preserve"> end product.</w:t>
      </w:r>
    </w:p>
    <w:p>
      <w:pPr>
        <w:spacing w:after="40"/>
        <w:ind w:left="425"/>
      </w:pPr>
      <w:r>
        <w:t xml:space="preserve">4. </w:t>
      </w:r>
      <w:r>
        <w:rPr>
          <w:b/>
        </w:rPr>
        <w:t xml:space="preserve">Silicon support — position as of </w:t>
      </w:r>
      <w:r>
        <w:rPr>
          <w:b/>
          <w:i/>
        </w:rPr>
        <w:t>CPU and CRA support</w:t>
      </w:r>
      <w:r>
        <w:rPr>
          <w:b/>
        </w:rPr>
        <w:t xml:space="preserve"> v1.5 (30 Jun 2026):</w:t>
      </w:r>
      <w:r>
        <w:t xml:space="preserve"> Intel's </w:t>
      </w:r>
      <w:r>
        <w:rPr>
          <w:b/>
        </w:rPr>
        <w:t>"Post EU CRA Support" program, effective 11 Dec 2027</w:t>
      </w:r>
      <w:r>
        <w:t xml:space="preserve"> — free baseline security updates "as required by CRA" (5 y free even after product EOL), optional paid </w:t>
      </w:r>
      <w:r>
        <w:rPr>
          <w:b/>
        </w:rPr>
        <w:t>LTSC Extended / Premium Support</w:t>
      </w:r>
      <w:r>
        <w:t xml:space="preserve"> on top, and the intention to </w:t>
      </w:r>
      <w:r>
        <w:rPr>
          <w:b/>
        </w:rPr>
        <w:t>publish CRA Declarations of Conformity incl. security-update durations</w:t>
      </w:r>
      <w:r>
        <w:t xml:space="preserve">. Per the v1.5 roadmaps, every actively supported family — from Coffee/Whiskey/Comet Lake through Tiger, Alder(-N), Raptor, Bartlett, Elkhart, Apollo, Amston, Twin, Moon Lake up to Meteor→Nova Lake — carries </w:t>
      </w:r>
      <w:r>
        <w:rPr>
          <w:b/>
        </w:rPr>
        <w:t>"FREE Baseline Security Updates support (CRA)"</w:t>
      </w:r>
      <w:r>
        <w:t xml:space="preserve">; Apollo/Coffee/Whiskey/Comet/Tiger Lake availability was extended to </w:t>
      </w:r>
      <w:r>
        <w:rPr>
          <w:b/>
        </w:rPr>
        <w:t>10+ years, shipping until 2030 Last Time Ship</w:t>
      </w:r>
      <w:r>
        <w:t xml:space="preserve">. Hard "last day to sell in EMEA" markers remain on </w:t>
      </w:r>
      <w:r>
        <w:rPr>
          <w:b/>
        </w:rPr>
        <w:t>Bay Trail, Braswell</w:t>
      </w:r>
      <w:r>
        <w:t xml:space="preserve"> (~end 2027, PDN to be issued) and </w:t>
      </w:r>
      <w:r>
        <w:rPr>
          <w:b/>
        </w:rPr>
        <w:t>Broadwell DE, Denverton (+Refresh)</w:t>
      </w:r>
      <w:r>
        <w:t xml:space="preserve"> (2026–28) → migration path: Alder Lake-N / Amston Lake / Twin Lake. Undefined: </w:t>
      </w:r>
      <w:r>
        <w:rPr>
          <w:b/>
        </w:rPr>
        <w:t>V2000 (AMD, inquiry running), Ice Lake D (+Refresh), Express-VR7</w:t>
      </w:r>
      <w:r>
        <w:t xml:space="preserve">. The cooperation angle matters commercially: an integrator who gets no vulnerability support on a legacy component is expected to </w:t>
      </w:r>
      <w:r>
        <w:rPr>
          <w:b/>
        </w:rPr>
        <w:t>"switch out the affected component"</w:t>
      </w:r>
      <w:r>
        <w:t xml:space="preserve"> (FAQ 4.3.6) — supplier cooperation is a design-win lever.</w:t>
      </w:r>
    </w:p>
    <w:p>
      <w:pPr>
        <w:spacing w:after="40"/>
        <w:ind w:left="425"/>
      </w:pPr>
      <w:r>
        <w:t xml:space="preserve">5. </w:t>
      </w:r>
      <w:r>
        <w:rPr>
          <w:b/>
        </w:rPr>
        <w:t>Certification lever:</w:t>
      </w:r>
      <w:r>
        <w:t xml:space="preserve"> IEC 62443-4-1 ML2 (cert FR_Cyber10248, LCIE, 25 Nov 2025) + ISO/IEC 27001:2022 position us for the future harmonised ENs that keep Class I products in </w:t>
      </w:r>
      <w:r>
        <w:rPr>
          <w:b/>
        </w:rPr>
        <w:t>self-assessment</w:t>
      </w:r>
      <w:r>
        <w:t xml:space="preserve"> — but see the §6 nuance: 4-1 is not itself a harmonised standard yet. Next step: 62443-4-2 (product level); coverage map in §6.</w:t>
      </w:r>
    </w:p>
    <w:p>
      <w:pPr>
        <w:spacing w:after="40"/>
        <w:ind w:left="425"/>
      </w:pPr>
      <w:r>
        <w:t xml:space="preserve">6. </w:t>
      </w:r>
      <w:r>
        <w:t xml:space="preserve">Upstream: </w:t>
      </w:r>
      <w:r>
        <w:rPr>
          <w:b/>
        </w:rPr>
        <w:t>AMI</w:t>
      </w:r>
      <w:r>
        <w:t xml:space="preserve"> commits to PSIRT feeds by Sep 2026 and CE/DoC/SBOM per firmware line before Dec 2027 (security@ami.com).</w:t>
      </w:r>
    </w:p>
    <w:p>
      <w:pPr>
        <w:spacing w:after="40"/>
        <w:ind w:left="425"/>
      </w:pPr>
      <w:r>
        <w:t xml:space="preserve">7. </w:t>
      </w:r>
      <w:r>
        <w:rPr>
          <w:b/>
        </w:rPr>
        <w:t>Open source:</w:t>
      </w:r>
      <w:r>
        <w:t xml:space="preserve"> non-commercial projects are largely out of scope (Recitals 18–19; Art 24 creates only a light "steward" regime) — the CRA duties for integrated OSS fall on the commercial manufacturer integrating it. ADLINK-maintained BSPs turn this into a selling point against unsupported DIY stacks (Sales Q&amp;A Q12).</w:t>
      </w:r>
    </w:p>
    <w:p>
      <w:pPr>
        <w:pStyle w:val="berschrift1"/>
      </w:pPr>
      <w:r>
        <w:t>🎭 Who is the "manufacturer"? — business scenarios</w:t>
      </w:r>
    </w:p>
    <w:p>
      <w:pPr>
        <w:pStyle w:val="Zitat"/>
      </w:pPr>
      <w:r>
        <w:rPr>
          <w:b/>
        </w:rPr>
        <w:t>Art 21:</w:t>
      </w:r>
      <w:r>
        <w:t xml:space="preserve"> "An importer or distributor shall be considered to be a manufacturer … where that importer or distributor places a product with digital elements on the market </w:t>
      </w:r>
      <w:r>
        <w:rPr>
          <w:b/>
        </w:rPr>
        <w:t>under its name or trademark</w:t>
      </w:r>
      <w:r>
        <w:t xml:space="preserve"> or carries out a </w:t>
      </w:r>
      <w:r>
        <w:rPr>
          <w:b/>
        </w:rPr>
        <w:t>substantial modification</w:t>
      </w:r>
      <w:r>
        <w:t xml:space="preserve"> of a product with digital elements already placed on the market."</w:t>
      </w:r>
    </w:p>
    <w:tbl>
      <w:tblPr>
        <w:tblStyle w:val="Tabellenraster"/>
        <w:tblW w:type="auto" w:w="0"/>
        <w:tblLook w:firstColumn="1" w:firstRow="1" w:lastColumn="0" w:lastRow="0" w:noHBand="0" w:noVBand="1" w:val="04A0"/>
      </w:tblPr>
      <w:tblGrid>
        <w:gridCol w:w="3251"/>
        <w:gridCol w:w="3251"/>
        <w:gridCol w:w="3251"/>
      </w:tblGrid>
      <w:tr>
        <w:tc>
          <w:tcPr>
            <w:tcW w:type="dxa" w:w="3251"/>
          </w:tcPr>
          <w:p>
            <w:r>
              <w:rPr>
                <w:sz w:val="16"/>
              </w:rPr>
            </w:r>
            <w:r>
              <w:rPr>
                <w:b/>
                <w:sz w:val="16"/>
              </w:rPr>
              <w:t>Scenario</w:t>
            </w:r>
          </w:p>
        </w:tc>
        <w:tc>
          <w:tcPr>
            <w:tcW w:type="dxa" w:w="3251"/>
          </w:tcPr>
          <w:p>
            <w:r>
              <w:rPr>
                <w:sz w:val="16"/>
              </w:rPr>
            </w:r>
            <w:r>
              <w:rPr>
                <w:b/>
                <w:sz w:val="16"/>
              </w:rPr>
              <w:t>CRA manufacturer</w:t>
            </w:r>
          </w:p>
        </w:tc>
        <w:tc>
          <w:tcPr>
            <w:tcW w:type="dxa" w:w="3251"/>
          </w:tcPr>
          <w:p>
            <w:r>
              <w:rPr>
                <w:sz w:val="16"/>
              </w:rPr>
            </w:r>
            <w:r>
              <w:rPr>
                <w:b/>
                <w:sz w:val="16"/>
              </w:rPr>
              <w:t>ADLINK owes</w:t>
            </w:r>
          </w:p>
        </w:tc>
      </w:tr>
      <w:tr>
        <w:tc>
          <w:tcPr>
            <w:tcW w:type="dxa" w:w="3251"/>
          </w:tcPr>
          <w:p>
            <w:r>
              <w:rPr>
                <w:sz w:val="16"/>
              </w:rPr>
            </w:r>
            <w:r>
              <w:rPr>
                <w:sz w:val="16"/>
              </w:rPr>
              <w:t>Standard product, ADLINK brand</w:t>
            </w:r>
          </w:p>
        </w:tc>
        <w:tc>
          <w:tcPr>
            <w:tcW w:type="dxa" w:w="3251"/>
          </w:tcPr>
          <w:p>
            <w:r>
              <w:rPr>
                <w:sz w:val="16"/>
              </w:rPr>
            </w:r>
            <w:r>
              <w:rPr>
                <w:b/>
                <w:sz w:val="16"/>
              </w:rPr>
              <w:t>ADLINK</w:t>
            </w:r>
          </w:p>
        </w:tc>
        <w:tc>
          <w:tcPr>
            <w:tcW w:type="dxa" w:w="3251"/>
          </w:tcPr>
          <w:p>
            <w:r>
              <w:rPr>
                <w:sz w:val="16"/>
              </w:rPr>
            </w:r>
            <w:r>
              <w:rPr>
                <w:sz w:val="16"/>
              </w:rPr>
              <w:t>full Art 13/14 obligations</w:t>
            </w:r>
          </w:p>
        </w:tc>
      </w:tr>
      <w:tr>
        <w:tc>
          <w:tcPr>
            <w:tcW w:type="dxa" w:w="3251"/>
          </w:tcPr>
          <w:p>
            <w:r>
              <w:rPr>
                <w:sz w:val="16"/>
              </w:rPr>
            </w:r>
            <w:r>
              <w:rPr>
                <w:b/>
                <w:sz w:val="16"/>
              </w:rPr>
              <w:t>ODM</w:t>
            </w:r>
            <w:r>
              <w:rPr>
                <w:sz w:val="16"/>
              </w:rPr>
              <w:t xml:space="preserve"> — customer's brand on ADLINK-built product</w:t>
            </w:r>
          </w:p>
        </w:tc>
        <w:tc>
          <w:tcPr>
            <w:tcW w:type="dxa" w:w="3251"/>
          </w:tcPr>
          <w:p>
            <w:r>
              <w:rPr>
                <w:sz w:val="16"/>
              </w:rPr>
            </w:r>
            <w:r>
              <w:rPr>
                <w:b/>
                <w:sz w:val="16"/>
              </w:rPr>
              <w:t>Customer</w:t>
            </w:r>
            <w:r>
              <w:rPr>
                <w:sz w:val="16"/>
              </w:rPr>
              <w:t xml:space="preserve"> (Art 3(13): "has … manufactured, and markets them under its name or trademark")</w:t>
            </w:r>
          </w:p>
        </w:tc>
        <w:tc>
          <w:tcPr>
            <w:tcW w:type="dxa" w:w="3251"/>
          </w:tcPr>
          <w:p>
            <w:r>
              <w:rPr>
                <w:sz w:val="16"/>
              </w:rPr>
            </w:r>
            <w:r>
              <w:rPr>
                <w:sz w:val="16"/>
              </w:rPr>
              <w:t xml:space="preserve">enabling package by contract (SBOM, tech-file input, vulnerability feed). </w:t>
            </w:r>
            <w:r>
              <w:rPr>
                <w:b/>
                <w:sz w:val="16"/>
              </w:rPr>
              <w:t>Escalate to legal.</w:t>
            </w:r>
          </w:p>
        </w:tc>
      </w:tr>
      <w:tr>
        <w:tc>
          <w:tcPr>
            <w:tcW w:type="dxa" w:w="3251"/>
          </w:tcPr>
          <w:p>
            <w:r>
              <w:rPr>
                <w:sz w:val="16"/>
              </w:rPr>
            </w:r>
            <w:r>
              <w:rPr>
                <w:sz w:val="16"/>
              </w:rPr>
              <w:t xml:space="preserve">Partner </w:t>
            </w:r>
            <w:r>
              <w:rPr>
                <w:b/>
                <w:sz w:val="16"/>
              </w:rPr>
              <w:t>rebrands/relabels</w:t>
            </w:r>
            <w:r>
              <w:rPr>
                <w:sz w:val="16"/>
              </w:rPr>
              <w:t xml:space="preserve"> a bought ADLINK product</w:t>
            </w:r>
          </w:p>
        </w:tc>
        <w:tc>
          <w:tcPr>
            <w:tcW w:type="dxa" w:w="3251"/>
          </w:tcPr>
          <w:p>
            <w:r>
              <w:rPr>
                <w:sz w:val="16"/>
              </w:rPr>
            </w:r>
            <w:r>
              <w:rPr>
                <w:b/>
                <w:sz w:val="16"/>
              </w:rPr>
              <w:t>Partner</w:t>
            </w:r>
            <w:r>
              <w:rPr>
                <w:sz w:val="16"/>
              </w:rPr>
              <w:t xml:space="preserve"> (Art 21)</w:t>
            </w:r>
          </w:p>
        </w:tc>
        <w:tc>
          <w:tcPr>
            <w:tcW w:type="dxa" w:w="3251"/>
          </w:tcPr>
          <w:p>
            <w:r>
              <w:rPr>
                <w:sz w:val="16"/>
              </w:rPr>
            </w:r>
            <w:r>
              <w:rPr>
                <w:sz w:val="16"/>
              </w:rPr>
              <w:t>our DoC does not transfer; partner needs own conformity</w:t>
            </w:r>
          </w:p>
        </w:tc>
      </w:tr>
      <w:tr>
        <w:tc>
          <w:tcPr>
            <w:tcW w:type="dxa" w:w="3251"/>
          </w:tcPr>
          <w:p>
            <w:r>
              <w:rPr>
                <w:sz w:val="16"/>
              </w:rPr>
            </w:r>
            <w:r>
              <w:rPr>
                <w:sz w:val="16"/>
              </w:rPr>
              <w:t xml:space="preserve">ADLINK supplies </w:t>
            </w:r>
            <w:r>
              <w:rPr>
                <w:b/>
                <w:sz w:val="16"/>
              </w:rPr>
              <w:t>only BIOS/firmware</w:t>
            </w:r>
          </w:p>
        </w:tc>
        <w:tc>
          <w:tcPr>
            <w:tcW w:type="dxa" w:w="3251"/>
          </w:tcPr>
          <w:p>
            <w:r>
              <w:rPr>
                <w:sz w:val="16"/>
              </w:rPr>
            </w:r>
            <w:r>
              <w:rPr>
                <w:b/>
                <w:sz w:val="16"/>
              </w:rPr>
              <w:t>ADLINK</w:t>
            </w:r>
            <w:r>
              <w:rPr>
                <w:sz w:val="16"/>
              </w:rPr>
              <w:t xml:space="preserve"> — the BIOS is its own product (Annex III Class I "boot managers"; see the §8 BIOS artefacts)</w:t>
            </w:r>
          </w:p>
        </w:tc>
        <w:tc>
          <w:tcPr>
            <w:tcW w:type="dxa" w:w="3251"/>
          </w:tcPr>
          <w:p>
            <w:r>
              <w:rPr>
                <w:sz w:val="16"/>
              </w:rPr>
            </w:r>
            <w:r>
              <w:rPr>
                <w:sz w:val="16"/>
              </w:rPr>
              <w:t>full obligations for the firmware itself</w:t>
            </w:r>
          </w:p>
        </w:tc>
      </w:tr>
      <w:tr>
        <w:tc>
          <w:tcPr>
            <w:tcW w:type="dxa" w:w="3251"/>
          </w:tcPr>
          <w:p>
            <w:r>
              <w:rPr>
                <w:sz w:val="16"/>
              </w:rPr>
            </w:r>
            <w:r>
              <w:rPr>
                <w:sz w:val="16"/>
              </w:rPr>
              <w:t xml:space="preserve">Partner </w:t>
            </w:r>
            <w:r>
              <w:rPr>
                <w:b/>
                <w:sz w:val="16"/>
              </w:rPr>
              <w:t>resells unmodified</w:t>
            </w:r>
            <w:r>
              <w:rPr>
                <w:sz w:val="16"/>
              </w:rPr>
              <w:t>, ADLINK brand</w:t>
            </w:r>
          </w:p>
        </w:tc>
        <w:tc>
          <w:tcPr>
            <w:tcW w:type="dxa" w:w="3251"/>
          </w:tcPr>
          <w:p>
            <w:r>
              <w:rPr>
                <w:sz w:val="16"/>
              </w:rPr>
            </w:r>
            <w:r>
              <w:rPr>
                <w:sz w:val="16"/>
              </w:rPr>
              <w:t xml:space="preserve">ADLINK stays manufacturer; partner = </w:t>
            </w:r>
            <w:r>
              <w:rPr>
                <w:b/>
                <w:sz w:val="16"/>
              </w:rPr>
              <w:t>distributor</w:t>
            </w:r>
            <w:r>
              <w:rPr>
                <w:sz w:val="16"/>
              </w:rPr>
              <w:t xml:space="preserve"> (Art 20: verify CE/DoC, stop selling known-non-compliant stock, forward vulnerability info)</w:t>
            </w:r>
          </w:p>
        </w:tc>
        <w:tc>
          <w:tcPr>
            <w:tcW w:type="dxa" w:w="3251"/>
          </w:tcPr>
          <w:p>
            <w:r>
              <w:rPr>
                <w:sz w:val="16"/>
              </w:rPr>
            </w:r>
            <w:r>
              <w:rPr>
                <w:sz w:val="16"/>
              </w:rPr>
              <w:t>full obligations</w:t>
            </w:r>
          </w:p>
        </w:tc>
      </w:tr>
      <w:tr>
        <w:tc>
          <w:tcPr>
            <w:tcW w:type="dxa" w:w="3251"/>
          </w:tcPr>
          <w:p>
            <w:r>
              <w:rPr>
                <w:sz w:val="16"/>
              </w:rPr>
            </w:r>
            <w:r>
              <w:rPr>
                <w:sz w:val="16"/>
              </w:rPr>
              <w:t xml:space="preserve">Partner </w:t>
            </w:r>
            <w:r>
              <w:rPr>
                <w:b/>
                <w:sz w:val="16"/>
              </w:rPr>
              <w:t>modifies</w:t>
            </w:r>
            <w:r>
              <w:rPr>
                <w:sz w:val="16"/>
              </w:rPr>
              <w:t xml:space="preserve"> the product</w:t>
            </w:r>
          </w:p>
        </w:tc>
        <w:tc>
          <w:tcPr>
            <w:tcW w:type="dxa" w:w="3251"/>
          </w:tcPr>
          <w:p>
            <w:r>
              <w:rPr>
                <w:sz w:val="16"/>
              </w:rPr>
            </w:r>
            <w:r>
              <w:rPr>
                <w:b/>
                <w:sz w:val="16"/>
              </w:rPr>
              <w:t>substantial</w:t>
            </w:r>
            <w:r>
              <w:rPr>
                <w:sz w:val="16"/>
              </w:rPr>
              <w:t xml:space="preserve"> modification (Art 3(30)) → partner becomes manufacturer of the modified product; minor change → obligations stay with ADLINK</w:t>
            </w:r>
          </w:p>
        </w:tc>
        <w:tc>
          <w:tcPr>
            <w:tcW w:type="dxa" w:w="3251"/>
          </w:tcPr>
          <w:p>
            <w:r>
              <w:rPr>
                <w:sz w:val="16"/>
              </w:rPr>
            </w:r>
            <w:r>
              <w:rPr>
                <w:sz w:val="16"/>
              </w:rPr>
              <w:t>assess case-by-case, document the boundary</w:t>
            </w:r>
          </w:p>
        </w:tc>
      </w:tr>
    </w:tbl>
    <w:p>
      <w:pPr>
        <w:spacing w:after="0"/>
      </w:pPr>
    </w:p>
    <w:p>
      <w:pPr>
        <w:pStyle w:val="berschrift1"/>
      </w:pPr>
      <w:r>
        <w:t>🚫 Sales guardrails — never say</w:t>
      </w:r>
    </w:p>
    <w:p>
      <w:pPr>
        <w:spacing w:after="40"/>
        <w:ind w:left="425"/>
      </w:pPr>
      <w:r>
        <w:t xml:space="preserve">1. </w:t>
      </w:r>
      <w:r>
        <w:rPr>
          <w:strike/>
        </w:rPr>
        <w:t>"CRA certified"</w:t>
      </w:r>
      <w:r>
        <w:t xml:space="preserve"> → there is no CRA certificate; say "designed to meet CRA requirements / self-assessed conformity".</w:t>
      </w:r>
    </w:p>
    <w:p>
      <w:pPr>
        <w:spacing w:after="40"/>
        <w:ind w:left="425"/>
      </w:pPr>
      <w:r>
        <w:t xml:space="preserve">2. </w:t>
      </w:r>
      <w:r>
        <w:rPr>
          <w:strike/>
        </w:rPr>
        <w:t>"Our module makes your product compliant"</w:t>
      </w:r>
      <w:r>
        <w:t xml:space="preserve"> → the end-product manufacturer always keeps own obligations.</w:t>
      </w:r>
    </w:p>
    <w:p>
      <w:pPr>
        <w:spacing w:after="40"/>
        <w:ind w:left="425"/>
      </w:pPr>
      <w:r>
        <w:t xml:space="preserve">3. </w:t>
      </w:r>
      <w:r>
        <w:rPr>
          <w:strike/>
        </w:rPr>
        <w:t>"B2B / industrial products are exempt"</w:t>
      </w:r>
      <w:r>
        <w:t xml:space="preserve"> → they are not.</w:t>
      </w:r>
    </w:p>
    <w:p>
      <w:pPr>
        <w:spacing w:after="40"/>
        <w:ind w:left="425"/>
      </w:pPr>
      <w:r>
        <w:t xml:space="preserve">4. </w:t>
      </w:r>
      <w:r>
        <w:t>Escalate: risk classification, contractual SLAs, ODM/rebrand deals → M. Güler / C. Lutz / legal.</w:t>
      </w:r>
    </w:p>
    <w:p>
      <w:pPr>
        <w:pStyle w:val="berschrift1"/>
      </w:pPr>
      <w:r>
        <w:t>💶 Penalties (Art 64)</w:t>
      </w:r>
    </w:p>
    <w:p>
      <w:pPr>
        <w:spacing w:after="40"/>
        <w:ind w:left="425"/>
      </w:pPr>
      <w:r>
        <w:t xml:space="preserve">• </w:t>
      </w:r>
      <w:r>
        <w:t xml:space="preserve">Essential requirements, Art 13/14 breaches: up to </w:t>
      </w:r>
      <w:r>
        <w:rPr>
          <w:b/>
        </w:rPr>
        <w:t>€15 M or 2.5 %</w:t>
      </w:r>
      <w:r>
        <w:t xml:space="preserve"> worldwide turnover.</w:t>
      </w:r>
    </w:p>
    <w:p>
      <w:pPr>
        <w:spacing w:after="40"/>
        <w:ind w:left="425"/>
      </w:pPr>
      <w:r>
        <w:t xml:space="preserve">• </w:t>
      </w:r>
      <w:r>
        <w:t xml:space="preserve">Other operator obligations (Arts 18–23, 28, …): up to </w:t>
      </w:r>
      <w:r>
        <w:rPr>
          <w:b/>
        </w:rPr>
        <w:t>€10 M or 2 %</w:t>
      </w:r>
      <w:r>
        <w:t>.</w:t>
      </w:r>
    </w:p>
    <w:p>
      <w:pPr>
        <w:spacing w:after="40"/>
        <w:ind w:left="425"/>
      </w:pPr>
      <w:r>
        <w:t xml:space="preserve">• </w:t>
      </w:r>
      <w:r>
        <w:t xml:space="preserve">Incorrect/misleading info to authorities: up to </w:t>
      </w:r>
      <w:r>
        <w:rPr>
          <w:b/>
        </w:rPr>
        <w:t>€5 M or 1 %</w:t>
      </w:r>
      <w:r>
        <w:t>.</w:t>
      </w:r>
    </w:p>
    <w:p>
      <w:pPr>
        <w:pStyle w:val="berschrift1"/>
      </w:pPr>
      <w:r>
        <w:t>🌍 Ecosystem snapshot (July 2026)</w:t>
      </w:r>
    </w:p>
    <w:p>
      <w:pPr>
        <w:spacing w:after="40"/>
        <w:ind w:left="425"/>
      </w:pPr>
      <w:r>
        <w:t xml:space="preserve">• </w:t>
      </w:r>
      <w:r>
        <w:rPr>
          <w:b/>
        </w:rPr>
        <w:t>Intel</w:t>
      </w:r>
      <w:r>
        <w:t xml:space="preserve"> — publicly quiet, but under CNDA (v1.5 deck, May 2026 rev.): </w:t>
      </w:r>
      <w:r>
        <w:rPr>
          <w:b/>
        </w:rPr>
        <w:t>Post-EU-CRA support program</w:t>
      </w:r>
      <w:r>
        <w:t xml:space="preserve">, CRA DoCs with declared update durations, extended silicon availability (§10). </w:t>
      </w:r>
      <w:r>
        <w:rPr>
          <w:b/>
        </w:rPr>
        <w:t>NXP</w:t>
      </w:r>
      <w:r>
        <w:t xml:space="preserve"> — commits to CRA "as it applies to semiconductors"; SDK SBOMs, OEM app notes. </w:t>
      </w:r>
      <w:r>
        <w:rPr>
          <w:b/>
        </w:rPr>
        <w:t>AMD</w:t>
      </w:r>
      <w:r>
        <w:t xml:space="preserve"> — "fully committed", aligning DoC/SBOM/support-period documentation; ADLINK inquiry ongoing. </w:t>
      </w:r>
      <w:r>
        <w:rPr>
          <w:b/>
        </w:rPr>
        <w:t>Microchip</w:t>
      </w:r>
      <w:r>
        <w:t xml:space="preserve"> — dedicated CRA solutions line.</w:t>
      </w:r>
    </w:p>
    <w:p>
      <w:pPr>
        <w:spacing w:after="40"/>
        <w:ind w:left="425"/>
      </w:pPr>
      <w:r>
        <w:t xml:space="preserve">• </w:t>
      </w:r>
      <w:r>
        <w:rPr>
          <w:b/>
        </w:rPr>
        <w:t>Kontron</w:t>
      </w:r>
      <w:r>
        <w:t xml:space="preserve"> (KontronOS + KontronGrid, sold as CRA enabler), </w:t>
      </w:r>
      <w:r>
        <w:rPr>
          <w:b/>
        </w:rPr>
        <w:t>congatec</w:t>
      </w:r>
      <w:r>
        <w:t xml:space="preserve"> (aReady.COM, "ultimate responsibility rests on OEMs"), </w:t>
      </w:r>
      <w:r>
        <w:rPr>
          <w:b/>
        </w:rPr>
        <w:t>Tria/Avnet</w:t>
      </w:r>
      <w:r>
        <w:t xml:space="preserve"> (modules + Witekio SBOM/CVE services), </w:t>
      </w:r>
      <w:r>
        <w:rPr>
          <w:b/>
        </w:rPr>
        <w:t>Advantech</w:t>
      </w:r>
      <w:r>
        <w:t xml:space="preserve"> (</w:t>
      </w:r>
      <w:r>
        <w:rPr>
          <w:b/>
        </w:rPr>
        <w:t>already holds product-level IEC 62443-4-2</w:t>
      </w:r>
      <w:r>
        <w:t xml:space="preserve"> on RSB-3810 with Bureau Veritas; Ubuntu Pro 10-y LTS bundle).</w:t>
      </w:r>
    </w:p>
    <w:p>
      <w:pPr>
        <w:spacing w:after="40"/>
        <w:ind w:left="425"/>
      </w:pPr>
      <w:r>
        <w:t xml:space="preserve">• </w:t>
      </w:r>
      <w:r>
        <w:t xml:space="preserve">Takeaways: the "OEM owns end-product compliance, we enable" framing is industry standard; everyone monetises CRA via hardened-OS/LTS offers (mirrors the ADLINK LTS/BSP model); </w:t>
      </w:r>
      <w:r>
        <w:rPr>
          <w:b/>
        </w:rPr>
        <w:t>62443-4-2 is the gap to close vs Advantech</w:t>
      </w:r>
      <w:r>
        <w:t>; nobody claims "CRA certified".</w:t>
      </w:r>
    </w:p>
    <w:p>
      <w:r>
        <w:t>External: NXP CRA (https://www.nxp.com/applications/technologies/security/eu-cyber-resilience-act-cra:CYBER-RESILIENCE-ACT) · AMD CRA (https://www.amd.com/en/solutions/security/eu-cyber-resilience-act.html) · Kontron CRA (https://www.kontron.com/en/landing-pages/cyber-resilience-act-solutions-for-embedded-and-edge-systems) · congatec blog (https://blog.congatec.com/en/lifting-the-fog-the-eu-cyber-resilience-act-and-its-impact-on-embedded-systems) · Tria CRA (https://www.tria-technologies.com/cyber-resilience-act-tria/) · Advantech 62443/CRA (https://www.advantech.com/en-us/resources/faq/things-you-need-to-know-about-iec-62443-and-the-cyber-resilience-act-cra) · Microchip CRA (https://www.microchip.com/en-us/solutions/technologies/embedded-security/cyber-resilience-act)</w:t>
      </w:r>
    </w:p>
    <w:p w14:paraId="7A48D8E6" w14:textId="3FE080E7" w:rsidR="004C6A89" w:rsidRPr="00627D6D" w:rsidRDefault="005A134D" w:rsidP="002E535D">
      <w:pPr>
        <w:pStyle w:val="berschrift1"/>
      </w:pPr>
      <w:bookmarkStart w:id="11" w:name="_Toc233100348"/>
      <w:r>
        <w:lastRenderedPageBreak/>
        <w:t>Definition</w:t>
      </w:r>
      <w:r w:rsidR="00DB7158" w:rsidRPr="007336CE">
        <w:t xml:space="preserve"> of </w:t>
      </w:r>
      <w:r>
        <w:t>Roles</w:t>
      </w:r>
      <w:r w:rsidR="00DB7158" w:rsidRPr="007336CE">
        <w:t xml:space="preserve"> and </w:t>
      </w:r>
      <w:r>
        <w:t>Activitys</w:t>
      </w:r>
      <w:bookmarkEnd w:id="11"/>
    </w:p>
    <w:p w14:paraId="57B5E75D" w14:textId="522AF65A" w:rsidR="00C23D06" w:rsidRDefault="005A134D" w:rsidP="002E535D">
      <w:pPr>
        <w:pStyle w:val="berschrift2"/>
      </w:pPr>
      <w:bookmarkStart w:id="12" w:name="_Toc233100349"/>
      <w:r>
        <w:t>Definition of roles</w:t>
      </w:r>
      <w:bookmarkEnd w:id="12"/>
    </w:p>
    <w:p w14:paraId="5539ABFE" w14:textId="4684BD23" w:rsidR="00C37D1A" w:rsidRDefault="00C37D1A" w:rsidP="00C37D1A"/>
    <w:tbl>
      <w:tblPr>
        <w:tblStyle w:val="Tabellenraster"/>
        <w:tblW w:w="9497" w:type="dxa"/>
        <w:tblInd w:w="421" w:type="dxa"/>
        <w:shd w:val="clear" w:color="auto" w:fill="F2F2F2" w:themeFill="background1" w:themeFillShade="F2"/>
        <w:tblLook w:val="04A0" w:firstRow="1" w:lastRow="0" w:firstColumn="1" w:lastColumn="0" w:noHBand="0" w:noVBand="1"/>
      </w:tblPr>
      <w:tblGrid>
        <w:gridCol w:w="1843"/>
        <w:gridCol w:w="2976"/>
        <w:gridCol w:w="4678"/>
      </w:tblGrid>
      <w:tr w:rsidR="00C37D1A" w:rsidRPr="007336CE" w14:paraId="79379B89" w14:textId="77777777" w:rsidTr="002C0EBD">
        <w:trPr>
          <w:tblHeader/>
        </w:trPr>
        <w:tc>
          <w:tcPr>
            <w:tcW w:w="1843" w:type="dxa"/>
            <w:shd w:val="clear" w:color="auto" w:fill="BFBFBF" w:themeFill="background1" w:themeFillShade="BF"/>
            <w:vAlign w:val="center"/>
          </w:tcPr>
          <w:p w14:paraId="6DC579E5" w14:textId="77777777" w:rsidR="00C37D1A" w:rsidRPr="007336CE" w:rsidRDefault="00C37D1A" w:rsidP="002C0EBD">
            <w:pPr>
              <w:pStyle w:val="StdTabelle"/>
              <w:keepNext/>
              <w:spacing w:before="40" w:after="40"/>
              <w:jc w:val="center"/>
              <w:rPr>
                <w:rFonts w:cs="Calibri"/>
                <w:b/>
                <w:sz w:val="22"/>
                <w:szCs w:val="22"/>
              </w:rPr>
            </w:pPr>
            <w:r>
              <w:rPr>
                <w:rFonts w:cs="Calibri"/>
                <w:b/>
                <w:sz w:val="22"/>
                <w:szCs w:val="22"/>
              </w:rPr>
              <w:t>role</w:t>
            </w:r>
          </w:p>
        </w:tc>
        <w:tc>
          <w:tcPr>
            <w:tcW w:w="2976" w:type="dxa"/>
            <w:shd w:val="clear" w:color="auto" w:fill="BFBFBF" w:themeFill="background1" w:themeFillShade="BF"/>
            <w:vAlign w:val="center"/>
          </w:tcPr>
          <w:p w14:paraId="4BE2359C" w14:textId="77777777" w:rsidR="00C37D1A" w:rsidRPr="007336CE" w:rsidRDefault="00C37D1A" w:rsidP="002C0EBD">
            <w:pPr>
              <w:pStyle w:val="StdTabelle"/>
              <w:keepNext/>
              <w:spacing w:before="40" w:after="40"/>
              <w:rPr>
                <w:rFonts w:cs="Calibri"/>
                <w:b/>
                <w:sz w:val="22"/>
                <w:szCs w:val="22"/>
              </w:rPr>
            </w:pPr>
            <w:r>
              <w:rPr>
                <w:rFonts w:cs="Calibri"/>
                <w:b/>
                <w:sz w:val="22"/>
                <w:szCs w:val="22"/>
              </w:rPr>
              <w:t>name</w:t>
            </w:r>
          </w:p>
        </w:tc>
        <w:tc>
          <w:tcPr>
            <w:tcW w:w="4678" w:type="dxa"/>
            <w:shd w:val="clear" w:color="auto" w:fill="BFBFBF" w:themeFill="background1" w:themeFillShade="BF"/>
            <w:vAlign w:val="center"/>
          </w:tcPr>
          <w:p w14:paraId="402F7F68" w14:textId="77777777" w:rsidR="00C37D1A" w:rsidRPr="007336CE" w:rsidRDefault="00C37D1A" w:rsidP="002C0EBD">
            <w:pPr>
              <w:pStyle w:val="StdTabelle"/>
              <w:keepNext/>
              <w:spacing w:before="40" w:after="40"/>
              <w:rPr>
                <w:rFonts w:cs="Calibri"/>
                <w:b/>
                <w:sz w:val="22"/>
                <w:szCs w:val="22"/>
              </w:rPr>
            </w:pPr>
            <w:r>
              <w:rPr>
                <w:rFonts w:cs="Calibri"/>
                <w:b/>
                <w:sz w:val="22"/>
                <w:szCs w:val="22"/>
              </w:rPr>
              <w:t>tasks</w:t>
            </w:r>
          </w:p>
        </w:tc>
      </w:tr>
      <w:tr w:rsidR="00C37D1A" w:rsidRPr="007336CE" w14:paraId="011B8250" w14:textId="77777777" w:rsidTr="002C0EBD">
        <w:trPr>
          <w:trHeight w:val="399"/>
          <w:tblHeader/>
        </w:trPr>
        <w:tc>
          <w:tcPr>
            <w:tcW w:w="1843" w:type="dxa"/>
            <w:vAlign w:val="center"/>
          </w:tcPr>
          <w:p w14:paraId="6556C00B" w14:textId="77777777" w:rsidR="00C37D1A" w:rsidRPr="008F3816" w:rsidRDefault="00C37D1A" w:rsidP="002C0EBD">
            <w:pPr>
              <w:spacing w:before="40" w:after="40"/>
              <w:jc w:val="center"/>
              <w:rPr>
                <w:rFonts w:cs="Calibri"/>
              </w:rPr>
            </w:pPr>
            <w:r>
              <w:rPr>
                <w:sz w:val="16"/>
              </w:rPr>
            </w:r>
            <w:r>
              <w:rPr>
                <w:sz w:val="16"/>
              </w:rPr>
              <w:t>PSIRT (single point of contact)</w:t>
            </w:r>
          </w:p>
        </w:tc>
        <w:tc>
          <w:tcPr>
            <w:tcW w:w="2976" w:type="dxa"/>
            <w:vAlign w:val="center"/>
          </w:tcPr>
          <w:p w14:paraId="4C1247C7" w14:textId="77777777" w:rsidR="00C37D1A" w:rsidRPr="007336CE" w:rsidRDefault="00C37D1A" w:rsidP="002C0EBD">
            <w:pPr>
              <w:spacing w:before="40" w:after="40"/>
              <w:rPr>
                <w:rFonts w:cs="Calibri"/>
              </w:rPr>
            </w:pPr>
            <w:r>
              <w:rPr>
                <w:sz w:val="16"/>
              </w:rPr>
            </w:r>
            <w:r>
              <w:rPr>
                <w:sz w:val="16"/>
              </w:rPr>
              <w:t>psirt@adlinktech.com</w:t>
            </w:r>
          </w:p>
        </w:tc>
        <w:tc>
          <w:tcPr>
            <w:tcW w:w="4678" w:type="dxa"/>
            <w:shd w:val="clear" w:color="auto" w:fill="auto"/>
            <w:vAlign w:val="center"/>
          </w:tcPr>
          <w:p w14:paraId="745878B4" w14:textId="77777777" w:rsidR="00C37D1A" w:rsidRPr="007336CE" w:rsidRDefault="00C37D1A" w:rsidP="002C0EBD">
            <w:pPr>
              <w:spacing w:before="40" w:after="40"/>
              <w:rPr>
                <w:rFonts w:cs="Calibri"/>
              </w:rPr>
            </w:pPr>
            <w:r>
              <w:rPr>
                <w:sz w:val="16"/>
              </w:rPr>
            </w:r>
            <w:r>
              <w:rPr>
                <w:sz w:val="16"/>
              </w:rPr>
              <w:t>Vulnerability report intake (Annex I Part II §5); logs T₀ for the Art 14 clocks</w:t>
            </w:r>
          </w:p>
        </w:tc>
      </w:tr>
      <w:tr>
        <w:tc>
          <w:tcPr>
            <w:tcW w:type="dxa" w:w="1843"/>
          </w:tcPr>
          <w:p>
            <w:r>
              <w:rPr>
                <w:sz w:val="16"/>
              </w:rPr>
            </w:r>
            <w:r>
              <w:rPr>
                <w:sz w:val="16"/>
              </w:rPr>
              <w:t>CRA escalation</w:t>
            </w:r>
          </w:p>
        </w:tc>
        <w:tc>
          <w:tcPr>
            <w:tcW w:type="dxa" w:w="2976"/>
          </w:tcPr>
          <w:p>
            <w:r>
              <w:rPr>
                <w:sz w:val="16"/>
              </w:rPr>
            </w:r>
            <w:r>
              <w:rPr>
                <w:sz w:val="16"/>
              </w:rPr>
              <w:t>M. Güler / C. Lutz</w:t>
            </w:r>
          </w:p>
        </w:tc>
        <w:tc>
          <w:tcPr>
            <w:tcW w:type="dxa" w:w="4678"/>
          </w:tcPr>
          <w:p>
            <w:r>
              <w:rPr>
                <w:sz w:val="16"/>
              </w:rPr>
            </w:r>
            <w:r>
              <w:rPr>
                <w:sz w:val="16"/>
              </w:rPr>
              <w:t>Risk classification, contractual SLAs, ODM / rebrand deals</w:t>
            </w:r>
          </w:p>
        </w:tc>
      </w:tr>
      <w:tr>
        <w:tc>
          <w:tcPr>
            <w:tcW w:type="dxa" w:w="1843"/>
          </w:tcPr>
          <w:p>
            <w:r>
              <w:rPr>
                <w:sz w:val="16"/>
              </w:rPr>
            </w:r>
            <w:r>
              <w:rPr>
                <w:sz w:val="16"/>
              </w:rPr>
              <w:t>Product Security</w:t>
            </w:r>
          </w:p>
        </w:tc>
        <w:tc>
          <w:tcPr>
            <w:tcW w:type="dxa" w:w="2976"/>
          </w:tcPr>
          <w:p>
            <w:r>
              <w:rPr>
                <w:sz w:val="16"/>
              </w:rPr>
            </w:r>
            <w:r>
              <w:rPr>
                <w:sz w:val="16"/>
              </w:rPr>
              <w:t>F. Kao — fencer.kao@adlinktech.com</w:t>
            </w:r>
          </w:p>
        </w:tc>
        <w:tc>
          <w:tcPr>
            <w:tcW w:type="dxa" w:w="4678"/>
          </w:tcPr>
          <w:p>
            <w:r>
              <w:rPr>
                <w:sz w:val="16"/>
              </w:rPr>
            </w:r>
            <w:r>
              <w:rPr>
                <w:sz w:val="16"/>
              </w:rPr>
              <w:t>Product security</w:t>
            </w:r>
          </w:p>
        </w:tc>
      </w:tr>
      <w:tr>
        <w:tc>
          <w:tcPr>
            <w:tcW w:type="dxa" w:w="1843"/>
          </w:tcPr>
          <w:p>
            <w:r>
              <w:rPr>
                <w:sz w:val="16"/>
              </w:rPr>
            </w:r>
            <w:r>
              <w:rPr>
                <w:sz w:val="16"/>
              </w:rPr>
              <w:t>Information Security</w:t>
            </w:r>
          </w:p>
        </w:tc>
        <w:tc>
          <w:tcPr>
            <w:tcW w:type="dxa" w:w="2976"/>
          </w:tcPr>
          <w:p>
            <w:r>
              <w:rPr>
                <w:sz w:val="16"/>
              </w:rPr>
            </w:r>
            <w:r>
              <w:rPr>
                <w:sz w:val="16"/>
              </w:rPr>
              <w:t>F. Ho — felix.ho@adlinktech.com</w:t>
            </w:r>
          </w:p>
        </w:tc>
        <w:tc>
          <w:tcPr>
            <w:tcW w:type="dxa" w:w="4678"/>
          </w:tcPr>
          <w:p>
            <w:r>
              <w:rPr>
                <w:sz w:val="16"/>
              </w:rPr>
            </w:r>
            <w:r>
              <w:rPr>
                <w:sz w:val="16"/>
              </w:rPr>
              <w:t>Information security / cybersecurity</w:t>
            </w:r>
          </w:p>
        </w:tc>
      </w:tr>
    </w:tbl>
    <w:p w14:paraId="24C68FCA" w14:textId="77777777" w:rsidR="00C37D1A" w:rsidRPr="00C37D1A" w:rsidRDefault="00C37D1A" w:rsidP="00C37D1A"/>
    <w:p w14:paraId="72A2924F" w14:textId="40F4CF99" w:rsidR="001137AE" w:rsidRPr="009849F0" w:rsidRDefault="009849F0" w:rsidP="00C37D1A">
      <w:pPr>
        <w:pStyle w:val="berschrift2"/>
        <w:ind w:left="425" w:hanging="425"/>
      </w:pPr>
      <w:bookmarkStart w:id="13" w:name="_Toc233100350"/>
      <w:r w:rsidRPr="009849F0">
        <w:t xml:space="preserve">Sequence of </w:t>
      </w:r>
      <w:r>
        <w:t>activities</w:t>
      </w:r>
      <w:bookmarkEnd w:id="13"/>
    </w:p>
    <w:p w14:paraId="61D3CDB8" w14:textId="76130817" w:rsidR="002F4F9A" w:rsidRPr="009849F0" w:rsidRDefault="009849F0" w:rsidP="00D25036">
      <w:pPr>
        <w:keepNext/>
        <w:ind w:left="425"/>
      </w:pPr>
      <w:r w:rsidRPr="009849F0">
        <w:t xml:space="preserve">The following table shall act as a kind of checklist to be followed in </w:t>
      </w:r>
      <w:r>
        <w:t>the given order.</w:t>
      </w:r>
    </w:p>
    <w:p w14:paraId="444C55BE" w14:textId="77777777" w:rsidR="002E535D" w:rsidRPr="009849F0" w:rsidRDefault="002E535D" w:rsidP="00D25036">
      <w:pPr>
        <w:keepNext/>
        <w:ind w:left="425"/>
      </w:pPr>
    </w:p>
    <w:tbl>
      <w:tblPr>
        <w:tblStyle w:val="Tabellenraster"/>
        <w:tblW w:w="9497" w:type="dxa"/>
        <w:tblInd w:w="421" w:type="dxa"/>
        <w:shd w:val="clear" w:color="auto" w:fill="F2F2F2" w:themeFill="background1" w:themeFillShade="F2"/>
        <w:tblLayout w:type="fixed"/>
        <w:tblLook w:val="04A0" w:firstRow="1" w:lastRow="0" w:firstColumn="1" w:lastColumn="0" w:noHBand="0" w:noVBand="1"/>
      </w:tblPr>
      <w:tblGrid>
        <w:gridCol w:w="1084"/>
        <w:gridCol w:w="3969"/>
        <w:gridCol w:w="4444"/>
      </w:tblGrid>
      <w:tr w:rsidR="00783C47" w:rsidRPr="007336CE" w14:paraId="190CD52C" w14:textId="77777777" w:rsidTr="00D926B5">
        <w:trPr>
          <w:tblHeader/>
        </w:trPr>
        <w:tc>
          <w:tcPr>
            <w:tcW w:w="1084" w:type="dxa"/>
            <w:shd w:val="clear" w:color="auto" w:fill="BFBFBF" w:themeFill="background1" w:themeFillShade="BF"/>
            <w:vAlign w:val="center"/>
          </w:tcPr>
          <w:p w14:paraId="309003AF" w14:textId="3AA13853" w:rsidR="00783C47" w:rsidRPr="007336CE" w:rsidRDefault="00783C47" w:rsidP="00733024">
            <w:pPr>
              <w:pStyle w:val="StdTabelle"/>
              <w:keepNext/>
              <w:spacing w:before="40" w:after="40"/>
              <w:jc w:val="center"/>
              <w:rPr>
                <w:rFonts w:cs="Calibri"/>
                <w:b/>
                <w:sz w:val="22"/>
                <w:szCs w:val="22"/>
              </w:rPr>
            </w:pPr>
            <w:r>
              <w:rPr>
                <w:rFonts w:cs="Calibri"/>
                <w:b/>
                <w:sz w:val="22"/>
                <w:szCs w:val="22"/>
              </w:rPr>
              <w:t>Step</w:t>
            </w:r>
            <w:r w:rsidRPr="007336CE">
              <w:rPr>
                <w:rFonts w:cs="Calibri"/>
                <w:b/>
                <w:sz w:val="22"/>
                <w:szCs w:val="22"/>
              </w:rPr>
              <w:t>#</w:t>
            </w:r>
          </w:p>
        </w:tc>
        <w:tc>
          <w:tcPr>
            <w:tcW w:w="3969" w:type="dxa"/>
            <w:shd w:val="clear" w:color="auto" w:fill="BFBFBF" w:themeFill="background1" w:themeFillShade="BF"/>
            <w:vAlign w:val="center"/>
          </w:tcPr>
          <w:p w14:paraId="1FEA1A9B" w14:textId="4BBE500C" w:rsidR="00783C47" w:rsidRPr="007336CE" w:rsidRDefault="00783C47" w:rsidP="00733024">
            <w:pPr>
              <w:pStyle w:val="StdTabelle"/>
              <w:keepNext/>
              <w:spacing w:before="40" w:after="40"/>
              <w:rPr>
                <w:rFonts w:cs="Calibri"/>
                <w:b/>
                <w:sz w:val="22"/>
                <w:szCs w:val="22"/>
              </w:rPr>
            </w:pPr>
            <w:r>
              <w:rPr>
                <w:rFonts w:cs="Calibri"/>
                <w:b/>
                <w:sz w:val="22"/>
                <w:szCs w:val="22"/>
              </w:rPr>
              <w:t>Activity</w:t>
            </w:r>
          </w:p>
        </w:tc>
        <w:tc>
          <w:tcPr>
            <w:tcW w:w="4444" w:type="dxa"/>
            <w:shd w:val="clear" w:color="auto" w:fill="BFBFBF" w:themeFill="background1" w:themeFillShade="BF"/>
            <w:vAlign w:val="center"/>
          </w:tcPr>
          <w:p w14:paraId="730B7177" w14:textId="106617D8" w:rsidR="00783C47" w:rsidRPr="007336CE" w:rsidRDefault="00783C47" w:rsidP="00733024">
            <w:pPr>
              <w:pStyle w:val="StdTabelle"/>
              <w:keepNext/>
              <w:spacing w:before="40" w:after="40"/>
              <w:rPr>
                <w:rFonts w:cs="Calibri"/>
                <w:b/>
                <w:sz w:val="22"/>
                <w:szCs w:val="22"/>
              </w:rPr>
            </w:pPr>
            <w:r>
              <w:rPr>
                <w:rFonts w:cs="Calibri"/>
                <w:b/>
                <w:sz w:val="22"/>
                <w:szCs w:val="22"/>
              </w:rPr>
              <w:t>Remark(s)</w:t>
            </w:r>
          </w:p>
        </w:tc>
      </w:tr>
      <w:tr w:rsidR="00783C47" w:rsidRPr="007336CE" w14:paraId="21B78C6A" w14:textId="77777777" w:rsidTr="00D926B5">
        <w:trPr>
          <w:tblHeader/>
        </w:trPr>
        <w:tc>
          <w:tcPr>
            <w:tcW w:w="1084" w:type="dxa"/>
            <w:vAlign w:val="center"/>
          </w:tcPr>
          <w:p w14:paraId="1C5AC50A" w14:textId="77777777" w:rsidR="00783C47" w:rsidRPr="00FA3320" w:rsidRDefault="00783C47" w:rsidP="00783C47">
            <w:pPr>
              <w:pStyle w:val="Listenabsatz"/>
              <w:numPr>
                <w:ilvl w:val="0"/>
                <w:numId w:val="19"/>
              </w:numPr>
              <w:spacing w:before="40" w:after="40"/>
              <w:jc w:val="center"/>
              <w:rPr>
                <w:rFonts w:cs="Calibri"/>
              </w:rPr>
            </w:pPr>
          </w:p>
        </w:tc>
        <w:tc>
          <w:tcPr>
            <w:tcW w:w="3969" w:type="dxa"/>
            <w:vAlign w:val="center"/>
          </w:tcPr>
          <w:p w14:paraId="6145D21E" w14:textId="3FA35BF2" w:rsidR="008D5188" w:rsidRPr="007336CE" w:rsidRDefault="00C37D1A" w:rsidP="00C37D1A">
            <w:pPr>
              <w:spacing w:before="40" w:after="40"/>
              <w:rPr>
                <w:rFonts w:cs="Calibri"/>
              </w:rPr>
            </w:pPr>
            <w:r>
              <w:rPr>
                <w:rFonts w:cs="Calibri"/>
              </w:rPr>
              <w:t>Customer</w:t>
            </w:r>
            <w:r w:rsidR="00783C47">
              <w:rPr>
                <w:rFonts w:cs="Calibri"/>
              </w:rPr>
              <w:t xml:space="preserve"> sends </w:t>
            </w:r>
            <w:r>
              <w:rPr>
                <w:rFonts w:cs="Calibri"/>
              </w:rPr>
              <w:t>a CRA report to ADLINK</w:t>
            </w:r>
          </w:p>
        </w:tc>
        <w:tc>
          <w:tcPr>
            <w:tcW w:w="4444" w:type="dxa"/>
            <w:shd w:val="clear" w:color="auto" w:fill="auto"/>
            <w:vAlign w:val="center"/>
          </w:tcPr>
          <w:p w14:paraId="4E9ABFA9" w14:textId="1964B39A" w:rsidR="008D5188" w:rsidRPr="008D5188" w:rsidRDefault="00783C47" w:rsidP="00C37D1A">
            <w:pPr>
              <w:spacing w:before="40" w:after="40"/>
            </w:pPr>
            <w:r w:rsidRPr="00C37D1A">
              <w:rPr>
                <w:rFonts w:cs="Calibri"/>
              </w:rPr>
              <w:t>Target email address is</w:t>
            </w:r>
            <w:r w:rsidR="008D5188" w:rsidRPr="00C37D1A">
              <w:rPr>
                <w:rFonts w:cs="Calibri"/>
              </w:rPr>
              <w:t xml:space="preserve"> </w:t>
            </w:r>
            <w:hyperlink r:id="rId8" w:history="1">
              <w:r w:rsidR="00C37D1A" w:rsidRPr="00C37D1A">
                <w:rPr>
                  <w:rStyle w:val="Hyperlink"/>
                </w:rPr>
                <w:t>PSIRT@adlinktech.com</w:t>
              </w:r>
            </w:hyperlink>
          </w:p>
        </w:tc>
      </w:tr>
      <w:tr w:rsidR="002E535D" w:rsidRPr="007336CE" w14:paraId="438EB043" w14:textId="77777777" w:rsidTr="00D926B5">
        <w:trPr>
          <w:tblHeader/>
        </w:trPr>
        <w:tc>
          <w:tcPr>
            <w:tcW w:w="1084" w:type="dxa"/>
            <w:vAlign w:val="center"/>
          </w:tcPr>
          <w:p w14:paraId="427A65A4" w14:textId="77777777" w:rsidR="002E535D" w:rsidRPr="00FA3320" w:rsidRDefault="002E535D" w:rsidP="00783C47">
            <w:pPr>
              <w:pStyle w:val="Listenabsatz"/>
              <w:numPr>
                <w:ilvl w:val="0"/>
                <w:numId w:val="19"/>
              </w:numPr>
              <w:spacing w:before="40" w:after="40"/>
              <w:jc w:val="center"/>
              <w:rPr>
                <w:rFonts w:cs="Calibri"/>
              </w:rPr>
            </w:pPr>
            <w:bookmarkStart w:id="14" w:name="_Ref220493707"/>
          </w:p>
        </w:tc>
        <w:bookmarkEnd w:id="14"/>
        <w:tc>
          <w:tcPr>
            <w:tcW w:w="3969" w:type="dxa"/>
            <w:vAlign w:val="center"/>
          </w:tcPr>
          <w:p w14:paraId="6C9A266F" w14:textId="605C1F94" w:rsidR="002E535D" w:rsidRDefault="00C37D1A" w:rsidP="00C37D1A">
            <w:pPr>
              <w:spacing w:before="40" w:after="40"/>
              <w:rPr>
                <w:rFonts w:cs="Calibri"/>
              </w:rPr>
            </w:pPr>
            <w:r>
              <w:rPr>
                <w:rFonts w:cs="Calibri"/>
              </w:rPr>
              <w:t xml:space="preserve">ADTW sends a email to ATG written in </w:t>
            </w:r>
            <w:r w:rsidRPr="00FD1392">
              <w:rPr>
                <w:rFonts w:cs="Calibri"/>
                <w:b/>
                <w:bCs/>
              </w:rPr>
              <w:t>English language</w:t>
            </w:r>
          </w:p>
        </w:tc>
        <w:tc>
          <w:tcPr>
            <w:tcW w:w="4444" w:type="dxa"/>
            <w:shd w:val="clear" w:color="auto" w:fill="auto"/>
            <w:vAlign w:val="center"/>
          </w:tcPr>
          <w:p w14:paraId="70C152B4" w14:textId="2BB0F3CB" w:rsidR="002E535D" w:rsidRDefault="008D5188" w:rsidP="00C37D1A">
            <w:pPr>
              <w:spacing w:before="40" w:after="40"/>
              <w:rPr>
                <w:rFonts w:cs="Calibri"/>
              </w:rPr>
            </w:pPr>
            <w:r>
              <w:rPr>
                <w:rFonts w:cs="Calibri"/>
              </w:rPr>
              <w:t>@ATG: Follow internal procedure</w:t>
            </w:r>
          </w:p>
        </w:tc>
      </w:tr>
      <w:tr w:rsidR="00FD1392" w:rsidRPr="007336CE" w14:paraId="0ABB511D" w14:textId="77777777" w:rsidTr="00D926B5">
        <w:trPr>
          <w:tblHeader/>
        </w:trPr>
        <w:tc>
          <w:tcPr>
            <w:tcW w:w="1084" w:type="dxa"/>
            <w:vAlign w:val="center"/>
          </w:tcPr>
          <w:p w14:paraId="0932C67C" w14:textId="77777777" w:rsidR="00FD1392" w:rsidRPr="00FA3320" w:rsidRDefault="00FD1392" w:rsidP="00FD1392">
            <w:pPr>
              <w:pStyle w:val="Listenabsatz"/>
              <w:numPr>
                <w:ilvl w:val="0"/>
                <w:numId w:val="19"/>
              </w:numPr>
              <w:spacing w:before="40" w:after="40"/>
              <w:jc w:val="center"/>
              <w:rPr>
                <w:rFonts w:cs="Calibri"/>
              </w:rPr>
            </w:pPr>
            <w:bookmarkStart w:id="15" w:name="_Ref220492244"/>
          </w:p>
        </w:tc>
        <w:bookmarkEnd w:id="15"/>
        <w:tc>
          <w:tcPr>
            <w:tcW w:w="3969" w:type="dxa"/>
            <w:vAlign w:val="center"/>
          </w:tcPr>
          <w:p w14:paraId="7BF5297B" w14:textId="63031851" w:rsidR="00726F13" w:rsidRPr="009C79BC" w:rsidRDefault="00726F13" w:rsidP="00FD1392">
            <w:pPr>
              <w:spacing w:before="40" w:after="40"/>
              <w:rPr>
                <w:rFonts w:cs="Calibri"/>
                <w:b/>
                <w:bCs/>
              </w:rPr>
            </w:pPr>
          </w:p>
        </w:tc>
        <w:tc>
          <w:tcPr>
            <w:tcW w:w="4444" w:type="dxa"/>
            <w:shd w:val="clear" w:color="auto" w:fill="auto"/>
            <w:vAlign w:val="center"/>
          </w:tcPr>
          <w:p w14:paraId="07455ADC" w14:textId="6F0B7869" w:rsidR="009C79BC" w:rsidRPr="009C79BC" w:rsidRDefault="009C79BC" w:rsidP="009C79BC">
            <w:pPr>
              <w:spacing w:before="40" w:after="40"/>
              <w:rPr>
                <w:rFonts w:cs="Calibri"/>
              </w:rPr>
            </w:pPr>
          </w:p>
        </w:tc>
      </w:tr>
      <w:tr w:rsidR="00726F13" w:rsidRPr="00AD44E3" w14:paraId="102BC30E" w14:textId="77777777" w:rsidTr="00D926B5">
        <w:trPr>
          <w:tblHeader/>
        </w:trPr>
        <w:tc>
          <w:tcPr>
            <w:tcW w:w="1084" w:type="dxa"/>
            <w:vAlign w:val="center"/>
          </w:tcPr>
          <w:p w14:paraId="13808FF1" w14:textId="77777777" w:rsidR="00726F13" w:rsidRPr="00FA3320" w:rsidRDefault="00726F13" w:rsidP="00FD1392">
            <w:pPr>
              <w:pStyle w:val="Listenabsatz"/>
              <w:numPr>
                <w:ilvl w:val="0"/>
                <w:numId w:val="19"/>
              </w:numPr>
              <w:spacing w:before="40" w:after="40"/>
              <w:jc w:val="center"/>
              <w:rPr>
                <w:rFonts w:cs="Calibri"/>
              </w:rPr>
            </w:pPr>
          </w:p>
        </w:tc>
        <w:tc>
          <w:tcPr>
            <w:tcW w:w="3969" w:type="dxa"/>
            <w:vAlign w:val="center"/>
          </w:tcPr>
          <w:p w14:paraId="461ED76F" w14:textId="08C8D556" w:rsidR="00A411D6" w:rsidRDefault="00A411D6" w:rsidP="00FD1392">
            <w:pPr>
              <w:spacing w:before="40" w:after="40"/>
              <w:rPr>
                <w:rFonts w:cs="Calibri"/>
              </w:rPr>
            </w:pPr>
          </w:p>
        </w:tc>
        <w:tc>
          <w:tcPr>
            <w:tcW w:w="4444" w:type="dxa"/>
            <w:shd w:val="clear" w:color="auto" w:fill="auto"/>
            <w:vAlign w:val="center"/>
          </w:tcPr>
          <w:p w14:paraId="283B90B9" w14:textId="26174BE2" w:rsidR="00A411D6" w:rsidRPr="00453A1B" w:rsidRDefault="00A411D6" w:rsidP="00453A1B">
            <w:pPr>
              <w:spacing w:before="40" w:after="40"/>
              <w:rPr>
                <w:rFonts w:cs="Calibri"/>
                <w:lang w:val="en-US"/>
              </w:rPr>
            </w:pPr>
          </w:p>
        </w:tc>
      </w:tr>
      <w:tr w:rsidR="00D25036" w:rsidRPr="009C79BC" w14:paraId="06EB6CFB" w14:textId="77777777" w:rsidTr="00D926B5">
        <w:trPr>
          <w:tblHeader/>
        </w:trPr>
        <w:tc>
          <w:tcPr>
            <w:tcW w:w="1084" w:type="dxa"/>
            <w:vAlign w:val="center"/>
          </w:tcPr>
          <w:p w14:paraId="072B5F2D" w14:textId="77777777" w:rsidR="00D25036" w:rsidRPr="00FA3320" w:rsidRDefault="00D25036" w:rsidP="00FD1392">
            <w:pPr>
              <w:pStyle w:val="Listenabsatz"/>
              <w:numPr>
                <w:ilvl w:val="0"/>
                <w:numId w:val="19"/>
              </w:numPr>
              <w:spacing w:before="40" w:after="40"/>
              <w:jc w:val="center"/>
              <w:rPr>
                <w:rFonts w:cs="Calibri"/>
              </w:rPr>
            </w:pPr>
          </w:p>
        </w:tc>
        <w:tc>
          <w:tcPr>
            <w:tcW w:w="3969" w:type="dxa"/>
            <w:vAlign w:val="center"/>
          </w:tcPr>
          <w:p w14:paraId="25EEEFBB" w14:textId="1BAD0C07" w:rsidR="00D25036" w:rsidRDefault="00D25036" w:rsidP="00FD1392">
            <w:pPr>
              <w:spacing w:before="40" w:after="40"/>
              <w:rPr>
                <w:rFonts w:cs="Calibri"/>
              </w:rPr>
            </w:pPr>
          </w:p>
        </w:tc>
        <w:tc>
          <w:tcPr>
            <w:tcW w:w="4444" w:type="dxa"/>
            <w:shd w:val="clear" w:color="auto" w:fill="auto"/>
            <w:vAlign w:val="center"/>
          </w:tcPr>
          <w:p w14:paraId="5A6F9D1E" w14:textId="77777777" w:rsidR="00D25036" w:rsidRDefault="00D25036" w:rsidP="00AD44E3">
            <w:pPr>
              <w:spacing w:before="40" w:after="40"/>
              <w:rPr>
                <w:rFonts w:cs="Calibri"/>
              </w:rPr>
            </w:pPr>
          </w:p>
        </w:tc>
      </w:tr>
      <w:tr w:rsidR="009C79BC" w:rsidRPr="009C79BC" w14:paraId="0909644C" w14:textId="77777777" w:rsidTr="00D926B5">
        <w:trPr>
          <w:tblHeader/>
        </w:trPr>
        <w:tc>
          <w:tcPr>
            <w:tcW w:w="1084" w:type="dxa"/>
            <w:vAlign w:val="center"/>
          </w:tcPr>
          <w:p w14:paraId="627A6360" w14:textId="77777777" w:rsidR="009C79BC" w:rsidRPr="00FA3320" w:rsidRDefault="009C79BC" w:rsidP="00FD1392">
            <w:pPr>
              <w:pStyle w:val="Listenabsatz"/>
              <w:numPr>
                <w:ilvl w:val="0"/>
                <w:numId w:val="19"/>
              </w:numPr>
              <w:spacing w:before="40" w:after="40"/>
              <w:jc w:val="center"/>
              <w:rPr>
                <w:rFonts w:cs="Calibri"/>
              </w:rPr>
            </w:pPr>
          </w:p>
        </w:tc>
        <w:tc>
          <w:tcPr>
            <w:tcW w:w="3969" w:type="dxa"/>
            <w:vAlign w:val="center"/>
          </w:tcPr>
          <w:p w14:paraId="0C4336A4" w14:textId="58B31C78" w:rsidR="009C79BC" w:rsidRDefault="009C79BC" w:rsidP="00FD1392">
            <w:pPr>
              <w:spacing w:before="40" w:after="40"/>
              <w:rPr>
                <w:rFonts w:cs="Calibri"/>
              </w:rPr>
            </w:pPr>
          </w:p>
        </w:tc>
        <w:tc>
          <w:tcPr>
            <w:tcW w:w="4444" w:type="dxa"/>
            <w:shd w:val="clear" w:color="auto" w:fill="auto"/>
            <w:vAlign w:val="center"/>
          </w:tcPr>
          <w:p w14:paraId="0993E01D" w14:textId="66C6DAC4" w:rsidR="009C79BC" w:rsidRDefault="009C79BC" w:rsidP="00AD44E3">
            <w:pPr>
              <w:spacing w:before="40" w:after="40"/>
              <w:rPr>
                <w:rFonts w:cs="Calibri"/>
              </w:rPr>
            </w:pPr>
          </w:p>
        </w:tc>
      </w:tr>
      <w:tr w:rsidR="00F168B6" w:rsidRPr="009C79BC" w14:paraId="55D3F826" w14:textId="77777777" w:rsidTr="00D926B5">
        <w:trPr>
          <w:tblHeader/>
        </w:trPr>
        <w:tc>
          <w:tcPr>
            <w:tcW w:w="1084" w:type="dxa"/>
            <w:vAlign w:val="center"/>
          </w:tcPr>
          <w:p w14:paraId="012CA21C" w14:textId="77777777" w:rsidR="00F168B6" w:rsidRPr="00FA3320" w:rsidRDefault="00F168B6" w:rsidP="00F168B6">
            <w:pPr>
              <w:pStyle w:val="Listenabsatz"/>
              <w:numPr>
                <w:ilvl w:val="0"/>
                <w:numId w:val="19"/>
              </w:numPr>
              <w:spacing w:before="40" w:after="40"/>
              <w:jc w:val="center"/>
              <w:rPr>
                <w:rFonts w:cs="Calibri"/>
              </w:rPr>
            </w:pPr>
          </w:p>
        </w:tc>
        <w:tc>
          <w:tcPr>
            <w:tcW w:w="3969" w:type="dxa"/>
            <w:vAlign w:val="center"/>
          </w:tcPr>
          <w:p w14:paraId="2853BF5A" w14:textId="6A57FCB6" w:rsidR="00F168B6" w:rsidRDefault="00F168B6" w:rsidP="00F168B6">
            <w:pPr>
              <w:spacing w:before="40" w:after="40"/>
              <w:rPr>
                <w:rFonts w:cs="Calibri"/>
              </w:rPr>
            </w:pPr>
          </w:p>
        </w:tc>
        <w:tc>
          <w:tcPr>
            <w:tcW w:w="4444" w:type="dxa"/>
            <w:shd w:val="clear" w:color="auto" w:fill="auto"/>
            <w:vAlign w:val="center"/>
          </w:tcPr>
          <w:p w14:paraId="2FE0957F" w14:textId="75C37DD9" w:rsidR="00F168B6" w:rsidRPr="00F168B6" w:rsidRDefault="00F168B6" w:rsidP="00F168B6">
            <w:pPr>
              <w:pStyle w:val="Listenabsatz"/>
              <w:numPr>
                <w:ilvl w:val="0"/>
                <w:numId w:val="20"/>
              </w:numPr>
              <w:spacing w:before="40" w:after="40"/>
              <w:ind w:left="357" w:hanging="357"/>
              <w:rPr>
                <w:rFonts w:cs="Calibri"/>
              </w:rPr>
            </w:pPr>
          </w:p>
        </w:tc>
      </w:tr>
      <w:tr w:rsidR="00F168B6" w:rsidRPr="009C79BC" w14:paraId="0150C695" w14:textId="77777777" w:rsidTr="00D926B5">
        <w:trPr>
          <w:tblHeader/>
        </w:trPr>
        <w:tc>
          <w:tcPr>
            <w:tcW w:w="1084" w:type="dxa"/>
            <w:vAlign w:val="center"/>
          </w:tcPr>
          <w:p w14:paraId="2BC9333E" w14:textId="77777777" w:rsidR="00F168B6" w:rsidRPr="00FA3320" w:rsidRDefault="00F168B6" w:rsidP="00F168B6">
            <w:pPr>
              <w:pStyle w:val="Listenabsatz"/>
              <w:numPr>
                <w:ilvl w:val="0"/>
                <w:numId w:val="19"/>
              </w:numPr>
              <w:spacing w:before="40" w:after="40"/>
              <w:jc w:val="center"/>
              <w:rPr>
                <w:rFonts w:cs="Calibri"/>
              </w:rPr>
            </w:pPr>
          </w:p>
        </w:tc>
        <w:tc>
          <w:tcPr>
            <w:tcW w:w="3969" w:type="dxa"/>
            <w:vAlign w:val="center"/>
          </w:tcPr>
          <w:p w14:paraId="60BFA2AB" w14:textId="4C86B925" w:rsidR="00F168B6" w:rsidRDefault="00F168B6" w:rsidP="00F168B6">
            <w:pPr>
              <w:spacing w:before="40" w:after="40"/>
              <w:rPr>
                <w:rFonts w:cs="Calibri"/>
              </w:rPr>
            </w:pPr>
          </w:p>
        </w:tc>
        <w:tc>
          <w:tcPr>
            <w:tcW w:w="4444" w:type="dxa"/>
            <w:shd w:val="clear" w:color="auto" w:fill="auto"/>
            <w:vAlign w:val="center"/>
          </w:tcPr>
          <w:p w14:paraId="32D06F76" w14:textId="77777777" w:rsidR="00F168B6" w:rsidRPr="00F168B6" w:rsidRDefault="00F168B6" w:rsidP="00F168B6">
            <w:pPr>
              <w:spacing w:before="40" w:after="40"/>
              <w:rPr>
                <w:rFonts w:cs="Calibri"/>
              </w:rPr>
            </w:pPr>
          </w:p>
        </w:tc>
      </w:tr>
    </w:tbl>
    <w:p w14:paraId="1B2CA91C" w14:textId="77777777" w:rsidR="00DB7158" w:rsidRPr="009C79BC" w:rsidRDefault="00DB7158" w:rsidP="007B62EB">
      <w:pPr>
        <w:ind w:left="426"/>
        <w:rPr>
          <w:lang w:val="en-US"/>
        </w:rPr>
      </w:pPr>
    </w:p>
    <w:p>
      <w:pPr>
        <w:pStyle w:val="berschrift1"/>
      </w:pPr>
      <w:r>
        <w:t>❓ Open items</w:t>
      </w:r>
    </w:p>
    <w:p>
      <w:pPr>
        <w:spacing w:after="40"/>
        <w:ind w:left="425"/>
      </w:pPr>
      <w:r>
        <w:t xml:space="preserve">• </w:t>
      </w:r>
      <w:r>
        <w:rPr>
          <w:b/>
        </w:rPr>
        <w:t>Driver responsibility</w:t>
      </w:r>
      <w:r>
        <w:t xml:space="preserve"> (Intel et al.) — undecided (ATGD leaves it "to be discussed").</w:t>
      </w:r>
    </w:p>
    <w:p>
      <w:pPr>
        <w:spacing w:after="40"/>
        <w:ind w:left="425"/>
      </w:pPr>
      <w:r>
        <w:t xml:space="preserve">• </w:t>
      </w:r>
      <w:r>
        <w:rPr>
          <w:b/>
        </w:rPr>
        <w:t>Yocto</w:t>
      </w:r>
      <w:r>
        <w:t xml:space="preserve"> — customer deck warns against it, strategy commits to Yocto LTS; align the message.</w:t>
      </w:r>
    </w:p>
    <w:p>
      <w:pPr>
        <w:spacing w:after="40"/>
        <w:ind w:left="425"/>
      </w:pPr>
      <w:r>
        <w:t xml:space="preserve">• </w:t>
      </w:r>
      <w:r>
        <w:rPr>
          <w:b/>
        </w:rPr>
        <w:t>SOP</w:t>
      </w:r>
      <w:r>
        <w:t xml:space="preserve"> ownership/roles (GM, QM, ATG↔ADTW split) — unresolved — roles table (§15.1) still to be completed.</w:t>
      </w:r>
    </w:p>
    <w:p>
      <w:pPr>
        <w:spacing w:after="40"/>
        <w:ind w:left="425"/>
      </w:pPr>
      <w:r>
        <w:t xml:space="preserve">• </w:t>
      </w:r>
      <w:r>
        <w:t xml:space="preserve">Silicon unknowns (v1.5 roadmaps): </w:t>
      </w:r>
      <w:r>
        <w:rPr>
          <w:b/>
        </w:rPr>
        <w:t>V2000</w:t>
      </w:r>
      <w:r>
        <w:t xml:space="preserve"> (AMD inquiry running), </w:t>
      </w:r>
      <w:r>
        <w:rPr>
          <w:b/>
        </w:rPr>
        <w:t>Ice Lake D (+Refresh)</w:t>
      </w:r>
      <w:r>
        <w:t xml:space="preserve">, </w:t>
      </w:r>
      <w:r>
        <w:rPr>
          <w:b/>
        </w:rPr>
        <w:t>Express-VR7</w:t>
      </w:r>
      <w:r>
        <w:t xml:space="preserve"> — CRA support status undefined.</w:t>
      </w:r>
    </w:p>
    <w:p>
      <w:pPr>
        <w:spacing w:after="40"/>
        <w:ind w:left="425"/>
      </w:pPr>
      <w:r>
        <w:t xml:space="preserve">• </w:t>
      </w:r>
      <w:r>
        <w:rPr>
          <w:b/>
        </w:rPr>
        <w:t>Spare-parts exemption (Art 2(6))</w:t>
      </w:r>
      <w:r>
        <w:t xml:space="preserve"> never analysed for our replacement-board business — potential relief, worth a formal position.</w:t>
      </w:r>
    </w:p>
    <w:p w14:paraId="7FE8CA2A" w14:textId="7F616EBF" w:rsidR="00C529F5" w:rsidRPr="007336CE" w:rsidRDefault="003B7AD6" w:rsidP="007B62EB">
      <w:pPr>
        <w:ind w:left="426"/>
        <w:jc w:val="center"/>
        <w:rPr>
          <w:rFonts w:cs="Calibri"/>
          <w:b/>
          <w:bCs/>
        </w:rPr>
      </w:pPr>
      <w:r w:rsidRPr="007336CE">
        <w:rPr>
          <w:rFonts w:cs="Calibri"/>
          <w:b/>
          <w:bCs/>
        </w:rPr>
        <w:t>-END</w:t>
      </w:r>
      <w:r w:rsidR="004204AE">
        <w:rPr>
          <w:rFonts w:cs="Calibri"/>
          <w:b/>
          <w:bCs/>
        </w:rPr>
        <w:t xml:space="preserve"> of document</w:t>
      </w:r>
      <w:r w:rsidRPr="007336CE">
        <w:rPr>
          <w:rFonts w:cs="Calibri"/>
          <w:b/>
          <w:bCs/>
        </w:rPr>
        <w:t>-</w:t>
      </w:r>
    </w:p>
    <w:sectPr w:rsidR="00C529F5" w:rsidRPr="007336CE" w:rsidSect="006B5D5B">
      <w:headerReference w:type="default" r:id="rId9"/>
      <w:footerReference w:type="default" r:id="rId10"/>
      <w:headerReference w:type="first" r:id="rId11"/>
      <w:footerReference w:type="first" r:id="rId12"/>
      <w:pgSz w:w="11906" w:h="16838" w:code="9"/>
      <w:pgMar w:top="1418" w:right="1077" w:bottom="851" w:left="1077" w:header="51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6FEE2" w14:textId="77777777" w:rsidR="004A4A9F" w:rsidRDefault="004A4A9F">
      <w:r>
        <w:separator/>
      </w:r>
    </w:p>
    <w:p w14:paraId="45DD0549" w14:textId="77777777" w:rsidR="004A4A9F" w:rsidRDefault="004A4A9F"/>
    <w:p w14:paraId="4B208B8C" w14:textId="77777777" w:rsidR="004A4A9F" w:rsidRDefault="004A4A9F"/>
  </w:endnote>
  <w:endnote w:type="continuationSeparator" w:id="0">
    <w:p w14:paraId="36BC2D2E" w14:textId="77777777" w:rsidR="004A4A9F" w:rsidRDefault="004A4A9F">
      <w:r>
        <w:continuationSeparator/>
      </w:r>
    </w:p>
    <w:p w14:paraId="6C1E099C" w14:textId="77777777" w:rsidR="004A4A9F" w:rsidRDefault="004A4A9F"/>
    <w:p w14:paraId="5763A5F3" w14:textId="77777777" w:rsidR="004A4A9F" w:rsidRDefault="004A4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E1307" w14:textId="77777777" w:rsidR="00B70A5E" w:rsidRPr="00C56C01" w:rsidRDefault="00D96285" w:rsidP="00C56C01">
    <w:pPr>
      <w:spacing w:before="40" w:after="40"/>
      <w:jc w:val="center"/>
      <w:rPr>
        <w:rFonts w:cs="Calibri"/>
        <w:bCs/>
        <w:color w:val="A6A6A6" w:themeColor="background1" w:themeShade="A6"/>
        <w:sz w:val="18"/>
        <w:szCs w:val="18"/>
      </w:rPr>
    </w:pPr>
    <w:r w:rsidRPr="00C56C01">
      <w:rPr>
        <w:rFonts w:cs="Calibri"/>
        <w:bCs/>
        <w:color w:val="A6A6A6" w:themeColor="background1" w:themeShade="A6"/>
        <w:sz w:val="18"/>
        <w:szCs w:val="18"/>
      </w:rPr>
      <w:t>“ADLINK confidential and for internal use only, printed versions are not under revision control!”</w:t>
    </w:r>
  </w:p>
  <w:p w14:paraId="022CD22E" w14:textId="07EE1BB0" w:rsidR="00D96285" w:rsidRPr="00C56C01" w:rsidRDefault="00D96285" w:rsidP="00C56C01">
    <w:pPr>
      <w:tabs>
        <w:tab w:val="right" w:pos="9752"/>
      </w:tabs>
      <w:spacing w:before="40" w:after="40"/>
      <w:rPr>
        <w:rFonts w:cs="Calibri"/>
        <w:bCs/>
        <w:color w:val="A6A6A6" w:themeColor="background1" w:themeShade="A6"/>
        <w:sz w:val="18"/>
        <w:szCs w:val="18"/>
      </w:rPr>
    </w:pPr>
    <w:r w:rsidRPr="00C56C01">
      <w:rPr>
        <w:rFonts w:cs="Calibri"/>
        <w:bCs/>
        <w:color w:val="A6A6A6" w:themeColor="background1" w:themeShade="A6"/>
        <w:sz w:val="18"/>
        <w:szCs w:val="18"/>
      </w:rPr>
      <w:t>Template: ATG-QM-TL-007; Revision 2.4; Author ACW; Released 01.09.2025</w:t>
    </w:r>
    <w:r w:rsidRPr="00C56C01">
      <w:rPr>
        <w:rFonts w:cs="Calibri"/>
        <w:bCs/>
        <w:color w:val="A6A6A6" w:themeColor="background1" w:themeShade="A6"/>
        <w:sz w:val="18"/>
        <w:szCs w:val="18"/>
      </w:rPr>
      <w:tab/>
      <w:t xml:space="preserve">Page </w:t>
    </w:r>
    <w:r w:rsidR="00C56C01" w:rsidRPr="00C56C01">
      <w:rPr>
        <w:rFonts w:cs="Calibri"/>
        <w:bCs/>
        <w:color w:val="A6A6A6" w:themeColor="background1" w:themeShade="A6"/>
        <w:sz w:val="18"/>
        <w:szCs w:val="18"/>
      </w:rPr>
      <w:fldChar w:fldCharType="begin"/>
    </w:r>
    <w:r w:rsidR="00C56C01" w:rsidRPr="00C56C01">
      <w:rPr>
        <w:rFonts w:cs="Calibri"/>
        <w:bCs/>
        <w:color w:val="A6A6A6" w:themeColor="background1" w:themeShade="A6"/>
        <w:sz w:val="18"/>
        <w:szCs w:val="18"/>
      </w:rPr>
      <w:instrText xml:space="preserve"> PAGE  \* Arabic  \* MERGEFORMAT </w:instrText>
    </w:r>
    <w:r w:rsidR="00C56C01" w:rsidRPr="00C56C01">
      <w:rPr>
        <w:rFonts w:cs="Calibri"/>
        <w:bCs/>
        <w:color w:val="A6A6A6" w:themeColor="background1" w:themeShade="A6"/>
        <w:sz w:val="18"/>
        <w:szCs w:val="18"/>
      </w:rPr>
      <w:fldChar w:fldCharType="separate"/>
    </w:r>
    <w:r w:rsidR="00F1567B">
      <w:rPr>
        <w:rFonts w:cs="Calibri"/>
        <w:bCs/>
        <w:noProof/>
        <w:color w:val="A6A6A6" w:themeColor="background1" w:themeShade="A6"/>
        <w:sz w:val="18"/>
        <w:szCs w:val="18"/>
      </w:rPr>
      <w:t>3</w:t>
    </w:r>
    <w:r w:rsidR="00C56C01" w:rsidRPr="00C56C01">
      <w:rPr>
        <w:rFonts w:cs="Calibri"/>
        <w:bCs/>
        <w:color w:val="A6A6A6" w:themeColor="background1" w:themeShade="A6"/>
        <w:sz w:val="18"/>
        <w:szCs w:val="18"/>
      </w:rPr>
      <w:fldChar w:fldCharType="end"/>
    </w:r>
    <w:r w:rsidRPr="00C56C01">
      <w:rPr>
        <w:rFonts w:cs="Calibri"/>
        <w:bCs/>
        <w:color w:val="A6A6A6" w:themeColor="background1" w:themeShade="A6"/>
        <w:sz w:val="18"/>
        <w:szCs w:val="18"/>
      </w:rPr>
      <w:t xml:space="preserve"> of </w:t>
    </w:r>
    <w:r w:rsidR="00C56C01" w:rsidRPr="00C56C01">
      <w:rPr>
        <w:rFonts w:cs="Calibri"/>
        <w:bCs/>
        <w:color w:val="A6A6A6" w:themeColor="background1" w:themeShade="A6"/>
        <w:sz w:val="18"/>
        <w:szCs w:val="18"/>
      </w:rPr>
      <w:fldChar w:fldCharType="begin"/>
    </w:r>
    <w:r w:rsidR="00C56C01" w:rsidRPr="00C56C01">
      <w:rPr>
        <w:rFonts w:cs="Calibri"/>
        <w:bCs/>
        <w:color w:val="A6A6A6" w:themeColor="background1" w:themeShade="A6"/>
        <w:sz w:val="18"/>
        <w:szCs w:val="18"/>
      </w:rPr>
      <w:instrText xml:space="preserve"> NUMPAGES  \* Arabic  \* MERGEFORMAT </w:instrText>
    </w:r>
    <w:r w:rsidR="00C56C01" w:rsidRPr="00C56C01">
      <w:rPr>
        <w:rFonts w:cs="Calibri"/>
        <w:bCs/>
        <w:color w:val="A6A6A6" w:themeColor="background1" w:themeShade="A6"/>
        <w:sz w:val="18"/>
        <w:szCs w:val="18"/>
      </w:rPr>
      <w:fldChar w:fldCharType="separate"/>
    </w:r>
    <w:r w:rsidR="00F1567B">
      <w:rPr>
        <w:rFonts w:cs="Calibri"/>
        <w:bCs/>
        <w:noProof/>
        <w:color w:val="A6A6A6" w:themeColor="background1" w:themeShade="A6"/>
        <w:sz w:val="18"/>
        <w:szCs w:val="18"/>
      </w:rPr>
      <w:t>4</w:t>
    </w:r>
    <w:r w:rsidR="00C56C01" w:rsidRPr="00C56C01">
      <w:rPr>
        <w:rFonts w:cs="Calibri"/>
        <w:bCs/>
        <w:color w:val="A6A6A6" w:themeColor="background1" w:themeShade="A6"/>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D4B37" w14:textId="77777777" w:rsidR="005444F1" w:rsidRPr="00DD35D1" w:rsidRDefault="00DD35D1" w:rsidP="00DD35D1">
    <w:pPr>
      <w:pBdr>
        <w:top w:val="single" w:sz="4" w:space="10" w:color="auto"/>
      </w:pBdr>
      <w:rPr>
        <w:sz w:val="16"/>
        <w:szCs w:val="16"/>
      </w:rPr>
    </w:pPr>
    <w:r w:rsidRPr="00DD35D1">
      <w:rPr>
        <w:b/>
        <w:sz w:val="16"/>
        <w:szCs w:val="16"/>
      </w:rPr>
      <w:t>ADLINK</w:t>
    </w:r>
    <w:r w:rsidRPr="00DD35D1">
      <w:rPr>
        <w:sz w:val="16"/>
        <w:szCs w:val="16"/>
      </w:rPr>
      <w:t xml:space="preserve"> confidential and for internal use only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B2B6C" w14:textId="77777777" w:rsidR="004A4A9F" w:rsidRDefault="004A4A9F">
      <w:r>
        <w:separator/>
      </w:r>
    </w:p>
    <w:p w14:paraId="6E3DCC1D" w14:textId="77777777" w:rsidR="004A4A9F" w:rsidRDefault="004A4A9F"/>
    <w:p w14:paraId="53CC545E" w14:textId="77777777" w:rsidR="004A4A9F" w:rsidRDefault="004A4A9F"/>
  </w:footnote>
  <w:footnote w:type="continuationSeparator" w:id="0">
    <w:p w14:paraId="46BEED5F" w14:textId="77777777" w:rsidR="004A4A9F" w:rsidRDefault="004A4A9F">
      <w:r>
        <w:continuationSeparator/>
      </w:r>
    </w:p>
    <w:p w14:paraId="25A53D97" w14:textId="77777777" w:rsidR="004A4A9F" w:rsidRDefault="004A4A9F"/>
    <w:p w14:paraId="4F3888CB" w14:textId="77777777" w:rsidR="004A4A9F" w:rsidRDefault="004A4A9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Layout w:type="fixed"/>
      <w:tblCellMar>
        <w:left w:w="0" w:type="dxa"/>
        <w:right w:w="0" w:type="dxa"/>
      </w:tblCellMar>
      <w:tblLook w:val="04A0" w:firstRow="1" w:lastRow="0" w:firstColumn="1" w:lastColumn="0" w:noHBand="0" w:noVBand="1"/>
    </w:tblPr>
    <w:tblGrid>
      <w:gridCol w:w="2551"/>
      <w:gridCol w:w="5104"/>
      <w:gridCol w:w="2268"/>
    </w:tblGrid>
    <w:tr w:rsidR="00B70A5E" w:rsidRPr="003349D3" w14:paraId="5A44258D" w14:textId="77777777" w:rsidTr="00777168">
      <w:trPr>
        <w:trHeight w:val="454"/>
      </w:trPr>
      <w:tc>
        <w:tcPr>
          <w:tcW w:w="2551" w:type="dxa"/>
          <w:vMerge w:val="restart"/>
          <w:vAlign w:val="center"/>
        </w:tcPr>
        <w:p w14:paraId="2045AEB6" w14:textId="77777777" w:rsidR="00B70A5E" w:rsidRPr="00C529F5" w:rsidRDefault="0076480E" w:rsidP="00A20DA5">
          <w:pPr>
            <w:spacing w:before="120" w:after="120"/>
            <w:contextualSpacing/>
            <w:jc w:val="center"/>
            <w:rPr>
              <w:rFonts w:cs="Calibri"/>
              <w:sz w:val="24"/>
            </w:rPr>
          </w:pPr>
          <w:r>
            <w:rPr>
              <w:rFonts w:cs="Calibri"/>
              <w:noProof/>
              <w:sz w:val="24"/>
              <w:lang w:eastAsia="en-GB"/>
            </w:rPr>
            <w:drawing>
              <wp:inline distT="0" distB="0" distL="0" distR="0" wp14:anchorId="438B1BA7" wp14:editId="4AB0A325">
                <wp:extent cx="1605915" cy="628015"/>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628015"/>
                        </a:xfrm>
                        <a:prstGeom prst="rect">
                          <a:avLst/>
                        </a:prstGeom>
                        <a:noFill/>
                        <a:ln>
                          <a:noFill/>
                        </a:ln>
                      </pic:spPr>
                    </pic:pic>
                  </a:graphicData>
                </a:graphic>
              </wp:inline>
            </w:drawing>
          </w:r>
        </w:p>
      </w:tc>
      <w:tc>
        <w:tcPr>
          <w:tcW w:w="5103" w:type="dxa"/>
          <w:vMerge w:val="restart"/>
          <w:vAlign w:val="center"/>
        </w:tcPr>
        <w:p w14:paraId="2C4C39EF" w14:textId="4EF14808" w:rsidR="00B70A5E" w:rsidRPr="006B5D5B" w:rsidRDefault="005A134D" w:rsidP="00EF5281">
          <w:pPr>
            <w:spacing w:before="120" w:after="120"/>
            <w:contextualSpacing/>
            <w:jc w:val="center"/>
            <w:rPr>
              <w:rFonts w:cs="Calibri"/>
              <w:b/>
              <w:bCs/>
              <w:noProof/>
              <w:sz w:val="24"/>
              <w:lang w:val="de-DE"/>
            </w:rPr>
          </w:pPr>
          <w:r>
            <w:rPr>
              <w:rFonts w:cs="Calibri"/>
              <w:b/>
              <w:bCs/>
              <w:noProof/>
              <w:sz w:val="32"/>
              <w:szCs w:val="24"/>
              <w:lang w:val="de-DE"/>
            </w:rPr>
            <w:t>CRA SOP</w:t>
          </w:r>
        </w:p>
      </w:tc>
      <w:tc>
        <w:tcPr>
          <w:tcW w:w="2268" w:type="dxa"/>
          <w:vAlign w:val="center"/>
        </w:tcPr>
        <w:p w14:paraId="03575A0C" w14:textId="77777777" w:rsidR="00B70A5E" w:rsidRPr="000A75B1" w:rsidRDefault="00B70A5E" w:rsidP="00E5349C">
          <w:pPr>
            <w:spacing w:before="120" w:after="120"/>
            <w:contextualSpacing/>
            <w:jc w:val="center"/>
            <w:rPr>
              <w:rFonts w:cs="Calibri"/>
              <w:b/>
              <w:bCs/>
              <w:noProof/>
              <w:sz w:val="24"/>
              <w:lang w:val="pt-BR"/>
            </w:rPr>
          </w:pPr>
          <w:r w:rsidRPr="000A75B1">
            <w:rPr>
              <w:rFonts w:cs="Calibri"/>
              <w:b/>
              <w:bCs/>
              <w:noProof/>
              <w:sz w:val="24"/>
              <w:lang w:val="pt-BR"/>
            </w:rPr>
            <w:t>Document-No.:</w:t>
          </w:r>
        </w:p>
        <w:p w14:paraId="49263821" w14:textId="6CDDF761" w:rsidR="00B70A5E" w:rsidRPr="000A75B1" w:rsidRDefault="004A0DA3" w:rsidP="005A134D">
          <w:pPr>
            <w:spacing w:before="120" w:after="120"/>
            <w:contextualSpacing/>
            <w:jc w:val="center"/>
            <w:rPr>
              <w:rFonts w:cs="Calibri"/>
              <w:noProof/>
              <w:sz w:val="24"/>
              <w:lang w:val="pt-BR"/>
            </w:rPr>
          </w:pPr>
          <w:r w:rsidRPr="004A0DA3">
            <w:rPr>
              <w:rFonts w:cs="Calibri"/>
              <w:noProof/>
              <w:color w:val="244061" w:themeColor="accent1" w:themeShade="80"/>
              <w:sz w:val="24"/>
              <w:lang w:val="pt-BR"/>
            </w:rPr>
            <w:t>ATG-QM-W-</w:t>
          </w:r>
          <w:r w:rsidR="005A134D">
            <w:rPr>
              <w:rFonts w:cs="Calibri"/>
              <w:noProof/>
              <w:color w:val="244061" w:themeColor="accent1" w:themeShade="80"/>
              <w:sz w:val="24"/>
              <w:lang w:val="pt-BR"/>
            </w:rPr>
            <w:t>xxx</w:t>
          </w:r>
        </w:p>
      </w:tc>
    </w:tr>
    <w:tr w:rsidR="00B70A5E" w:rsidRPr="00C529F5" w14:paraId="19533444" w14:textId="77777777" w:rsidTr="00777168">
      <w:trPr>
        <w:trHeight w:val="454"/>
      </w:trPr>
      <w:tc>
        <w:tcPr>
          <w:tcW w:w="2551" w:type="dxa"/>
          <w:vMerge/>
          <w:vAlign w:val="center"/>
        </w:tcPr>
        <w:p w14:paraId="03616AB8" w14:textId="77777777" w:rsidR="00B70A5E" w:rsidRPr="000A75B1" w:rsidRDefault="00B70A5E" w:rsidP="00B31666">
          <w:pPr>
            <w:spacing w:before="120" w:after="120"/>
            <w:contextualSpacing/>
            <w:jc w:val="center"/>
            <w:rPr>
              <w:rFonts w:cs="Calibri"/>
              <w:sz w:val="24"/>
              <w:lang w:val="pt-BR"/>
            </w:rPr>
          </w:pPr>
        </w:p>
      </w:tc>
      <w:tc>
        <w:tcPr>
          <w:tcW w:w="5103" w:type="dxa"/>
          <w:vMerge/>
        </w:tcPr>
        <w:p w14:paraId="4B47B5D0" w14:textId="77777777" w:rsidR="00B70A5E" w:rsidRPr="000A75B1" w:rsidRDefault="00B70A5E" w:rsidP="00B31666">
          <w:pPr>
            <w:spacing w:before="120" w:after="120"/>
            <w:contextualSpacing/>
            <w:jc w:val="center"/>
            <w:rPr>
              <w:rFonts w:cs="Calibri"/>
              <w:sz w:val="24"/>
              <w:lang w:val="pt-BR"/>
            </w:rPr>
          </w:pPr>
        </w:p>
      </w:tc>
      <w:tc>
        <w:tcPr>
          <w:tcW w:w="2268" w:type="dxa"/>
          <w:vAlign w:val="center"/>
        </w:tcPr>
        <w:p w14:paraId="1916C368" w14:textId="70C98A07" w:rsidR="00B70A5E" w:rsidRPr="00236084" w:rsidRDefault="00B70A5E" w:rsidP="00E5349C">
          <w:pPr>
            <w:spacing w:before="120" w:after="120"/>
            <w:contextualSpacing/>
            <w:jc w:val="center"/>
            <w:rPr>
              <w:rFonts w:cs="Calibri"/>
              <w:b/>
              <w:bCs/>
              <w:sz w:val="24"/>
            </w:rPr>
          </w:pPr>
          <w:r w:rsidRPr="00236084">
            <w:rPr>
              <w:rFonts w:cs="Calibri"/>
              <w:b/>
              <w:bCs/>
              <w:sz w:val="24"/>
            </w:rPr>
            <w:t xml:space="preserve">Version: </w:t>
          </w:r>
          <w:r w:rsidR="00F1567B">
            <w:rPr>
              <w:rFonts w:cs="Calibri"/>
              <w:color w:val="244061" w:themeColor="accent1" w:themeShade="80"/>
              <w:sz w:val="24"/>
            </w:rPr>
            <w:t>0.1</w:t>
          </w:r>
        </w:p>
      </w:tc>
    </w:tr>
  </w:tbl>
  <w:p w14:paraId="2808D31F" w14:textId="47CBB99A" w:rsidR="00B31666" w:rsidRDefault="00B31666" w:rsidP="00B70A5E">
    <w:pPr>
      <w:rPr>
        <w:rFonts w:cs="Calibri"/>
        <w:sz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Layout w:type="fixed"/>
      <w:tblCellMar>
        <w:left w:w="0" w:type="dxa"/>
        <w:right w:w="0" w:type="dxa"/>
      </w:tblCellMar>
      <w:tblLook w:val="04A0" w:firstRow="1" w:lastRow="0" w:firstColumn="1" w:lastColumn="0" w:noHBand="0" w:noVBand="1"/>
    </w:tblPr>
    <w:tblGrid>
      <w:gridCol w:w="2551"/>
      <w:gridCol w:w="2552"/>
      <w:gridCol w:w="2552"/>
      <w:gridCol w:w="1134"/>
      <w:gridCol w:w="1134"/>
    </w:tblGrid>
    <w:tr w:rsidR="005444F1" w14:paraId="0C7DE5FE" w14:textId="77777777" w:rsidTr="005444F1">
      <w:trPr>
        <w:trHeight w:val="454"/>
      </w:trPr>
      <w:tc>
        <w:tcPr>
          <w:tcW w:w="2551" w:type="dxa"/>
          <w:vMerge w:val="restart"/>
          <w:vAlign w:val="center"/>
        </w:tcPr>
        <w:p w14:paraId="565BA1D3" w14:textId="77777777" w:rsidR="005444F1" w:rsidRDefault="005444F1" w:rsidP="005444F1">
          <w:pPr>
            <w:spacing w:before="120" w:after="120"/>
            <w:contextualSpacing/>
            <w:jc w:val="center"/>
          </w:pPr>
          <w:r>
            <w:rPr>
              <w:noProof/>
              <w:sz w:val="16"/>
              <w:lang w:eastAsia="en-GB"/>
            </w:rPr>
            <w:drawing>
              <wp:inline distT="0" distB="0" distL="0" distR="0" wp14:anchorId="756F953C" wp14:editId="54BD13FC">
                <wp:extent cx="1371600" cy="303593"/>
                <wp:effectExtent l="0" t="0" r="0" b="127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LINK_Leading_EDGE_COMPUTI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8125" cy="305037"/>
                        </a:xfrm>
                        <a:prstGeom prst="rect">
                          <a:avLst/>
                        </a:prstGeom>
                      </pic:spPr>
                    </pic:pic>
                  </a:graphicData>
                </a:graphic>
              </wp:inline>
            </w:drawing>
          </w:r>
        </w:p>
      </w:tc>
      <w:tc>
        <w:tcPr>
          <w:tcW w:w="2552" w:type="dxa"/>
          <w:vAlign w:val="center"/>
        </w:tcPr>
        <w:p w14:paraId="145BF27D" w14:textId="77777777" w:rsidR="005444F1" w:rsidRPr="00C90DEE" w:rsidRDefault="005444F1" w:rsidP="005444F1">
          <w:pPr>
            <w:spacing w:before="120" w:after="120"/>
            <w:contextualSpacing/>
            <w:jc w:val="center"/>
            <w:rPr>
              <w:b/>
            </w:rPr>
          </w:pPr>
          <w:r w:rsidRPr="00C90DEE">
            <w:rPr>
              <w:b/>
            </w:rPr>
            <w:t>Document name</w:t>
          </w:r>
        </w:p>
      </w:tc>
      <w:tc>
        <w:tcPr>
          <w:tcW w:w="4820" w:type="dxa"/>
          <w:gridSpan w:val="3"/>
          <w:vAlign w:val="center"/>
        </w:tcPr>
        <w:p w14:paraId="26725D9C" w14:textId="77777777" w:rsidR="005444F1" w:rsidRPr="009C592B" w:rsidRDefault="00DD35D1" w:rsidP="00DD35D1">
          <w:pPr>
            <w:spacing w:before="120" w:after="120"/>
            <w:contextualSpacing/>
            <w:jc w:val="center"/>
            <w:rPr>
              <w:b/>
            </w:rPr>
          </w:pPr>
          <w:r>
            <w:t>Messprotokoll Ableitstrommessung</w:t>
          </w:r>
        </w:p>
      </w:tc>
    </w:tr>
    <w:tr w:rsidR="005444F1" w14:paraId="101DF30E" w14:textId="77777777" w:rsidTr="005444F1">
      <w:trPr>
        <w:trHeight w:val="454"/>
      </w:trPr>
      <w:tc>
        <w:tcPr>
          <w:tcW w:w="2551" w:type="dxa"/>
          <w:vMerge/>
          <w:vAlign w:val="center"/>
        </w:tcPr>
        <w:p w14:paraId="54ECFD37" w14:textId="77777777" w:rsidR="005444F1" w:rsidRDefault="005444F1" w:rsidP="005444F1">
          <w:pPr>
            <w:spacing w:before="120" w:after="120"/>
            <w:contextualSpacing/>
            <w:jc w:val="center"/>
          </w:pPr>
        </w:p>
      </w:tc>
      <w:tc>
        <w:tcPr>
          <w:tcW w:w="2552" w:type="dxa"/>
          <w:vAlign w:val="center"/>
        </w:tcPr>
        <w:p w14:paraId="22BB0CCF" w14:textId="77777777" w:rsidR="005444F1" w:rsidRPr="00C90DEE" w:rsidRDefault="005444F1" w:rsidP="005444F1">
          <w:pPr>
            <w:spacing w:before="120" w:after="120"/>
            <w:contextualSpacing/>
            <w:jc w:val="center"/>
            <w:rPr>
              <w:b/>
            </w:rPr>
          </w:pPr>
          <w:r w:rsidRPr="00C90DEE">
            <w:rPr>
              <w:b/>
            </w:rPr>
            <w:t>Document No.</w:t>
          </w:r>
        </w:p>
      </w:tc>
      <w:tc>
        <w:tcPr>
          <w:tcW w:w="2552" w:type="dxa"/>
          <w:vAlign w:val="center"/>
        </w:tcPr>
        <w:p w14:paraId="7CE73544" w14:textId="77777777" w:rsidR="005444F1" w:rsidRPr="0003370C" w:rsidRDefault="00DD35D1" w:rsidP="00FD73E4">
          <w:pPr>
            <w:spacing w:before="120" w:after="120"/>
            <w:contextualSpacing/>
            <w:jc w:val="center"/>
          </w:pPr>
          <w:r>
            <w:t>ATGD-</w:t>
          </w:r>
          <w:r w:rsidR="00FD73E4">
            <w:t>W</w:t>
          </w:r>
          <w:r w:rsidR="00E53A96">
            <w:t>QA-00</w:t>
          </w:r>
          <w:r w:rsidR="00FD73E4">
            <w:t>3</w:t>
          </w:r>
        </w:p>
      </w:tc>
      <w:tc>
        <w:tcPr>
          <w:tcW w:w="1134" w:type="dxa"/>
          <w:vAlign w:val="center"/>
        </w:tcPr>
        <w:p w14:paraId="4CF36A43" w14:textId="77777777" w:rsidR="005444F1" w:rsidRPr="0003370C" w:rsidRDefault="005444F1" w:rsidP="005444F1">
          <w:pPr>
            <w:spacing w:before="120" w:after="120"/>
            <w:contextualSpacing/>
            <w:jc w:val="center"/>
          </w:pPr>
          <w:r w:rsidRPr="0003370C">
            <w:t>Version</w:t>
          </w:r>
        </w:p>
      </w:tc>
      <w:tc>
        <w:tcPr>
          <w:tcW w:w="1134" w:type="dxa"/>
          <w:vAlign w:val="center"/>
        </w:tcPr>
        <w:p w14:paraId="31407038" w14:textId="77777777" w:rsidR="005444F1" w:rsidRDefault="005444F1" w:rsidP="005444F1">
          <w:pPr>
            <w:spacing w:before="120" w:after="120"/>
            <w:contextualSpacing/>
            <w:jc w:val="center"/>
          </w:pPr>
          <w:r>
            <w:t>1.0</w:t>
          </w:r>
        </w:p>
      </w:tc>
    </w:tr>
    <w:tr w:rsidR="005444F1" w14:paraId="02F544E1" w14:textId="77777777" w:rsidTr="005444F1">
      <w:trPr>
        <w:trHeight w:val="454"/>
      </w:trPr>
      <w:tc>
        <w:tcPr>
          <w:tcW w:w="2551" w:type="dxa"/>
          <w:vMerge/>
          <w:vAlign w:val="center"/>
        </w:tcPr>
        <w:p w14:paraId="68022A56" w14:textId="77777777" w:rsidR="005444F1" w:rsidRDefault="005444F1" w:rsidP="005444F1">
          <w:pPr>
            <w:spacing w:before="120" w:after="120"/>
            <w:contextualSpacing/>
            <w:jc w:val="center"/>
          </w:pPr>
        </w:p>
      </w:tc>
      <w:tc>
        <w:tcPr>
          <w:tcW w:w="2552" w:type="dxa"/>
          <w:vAlign w:val="center"/>
        </w:tcPr>
        <w:p w14:paraId="361F25AC" w14:textId="77777777" w:rsidR="005444F1" w:rsidRPr="00C90DEE" w:rsidRDefault="005444F1" w:rsidP="005444F1">
          <w:pPr>
            <w:spacing w:before="120" w:after="120"/>
            <w:contextualSpacing/>
            <w:jc w:val="center"/>
            <w:rPr>
              <w:b/>
            </w:rPr>
          </w:pPr>
          <w:r w:rsidRPr="00C90DEE">
            <w:rPr>
              <w:b/>
            </w:rPr>
            <w:t>Valid date</w:t>
          </w:r>
        </w:p>
      </w:tc>
      <w:tc>
        <w:tcPr>
          <w:tcW w:w="2552" w:type="dxa"/>
          <w:vAlign w:val="center"/>
        </w:tcPr>
        <w:p w14:paraId="63F4F7B2" w14:textId="77777777" w:rsidR="005444F1" w:rsidRPr="0003370C" w:rsidRDefault="005444F1" w:rsidP="005444F1">
          <w:pPr>
            <w:spacing w:before="120" w:after="120"/>
            <w:contextualSpacing/>
            <w:jc w:val="center"/>
          </w:pPr>
        </w:p>
      </w:tc>
      <w:tc>
        <w:tcPr>
          <w:tcW w:w="1134" w:type="dxa"/>
          <w:vAlign w:val="center"/>
        </w:tcPr>
        <w:p w14:paraId="47CF5B0E" w14:textId="77777777" w:rsidR="005444F1" w:rsidRPr="0003370C" w:rsidRDefault="005444F1" w:rsidP="005444F1">
          <w:pPr>
            <w:spacing w:before="120" w:after="120"/>
            <w:contextualSpacing/>
            <w:jc w:val="center"/>
          </w:pPr>
          <w:r w:rsidRPr="0003370C">
            <w:t>Page</w:t>
          </w:r>
        </w:p>
      </w:tc>
      <w:tc>
        <w:tcPr>
          <w:tcW w:w="1134" w:type="dxa"/>
          <w:vAlign w:val="center"/>
        </w:tcPr>
        <w:p w14:paraId="78E4F76F" w14:textId="77777777" w:rsidR="005444F1" w:rsidRDefault="005444F1" w:rsidP="005444F1">
          <w:pPr>
            <w:spacing w:before="120" w:after="120"/>
            <w:contextualSpacing/>
            <w:jc w:val="center"/>
          </w:pPr>
          <w:r>
            <w:fldChar w:fldCharType="begin"/>
          </w:r>
          <w:r>
            <w:instrText xml:space="preserve"> PAGE  \* Arabic  \* MERGEFORMAT </w:instrText>
          </w:r>
          <w:r>
            <w:fldChar w:fldCharType="separate"/>
          </w:r>
          <w:r w:rsidR="00E307C3">
            <w:rPr>
              <w:noProof/>
            </w:rPr>
            <w:t>1</w:t>
          </w:r>
          <w:r>
            <w:fldChar w:fldCharType="end"/>
          </w:r>
          <w:r>
            <w:t>/</w:t>
          </w:r>
          <w:r w:rsidR="00DA2DD4">
            <w:rPr>
              <w:noProof/>
            </w:rPr>
            <w:fldChar w:fldCharType="begin"/>
          </w:r>
          <w:r w:rsidR="00DA2DD4">
            <w:rPr>
              <w:noProof/>
            </w:rPr>
            <w:instrText xml:space="preserve"> NUMPAGES  \* Arabic  \* MERGEFORMAT </w:instrText>
          </w:r>
          <w:r w:rsidR="00DA2DD4">
            <w:rPr>
              <w:noProof/>
            </w:rPr>
            <w:fldChar w:fldCharType="separate"/>
          </w:r>
          <w:r w:rsidR="00007878">
            <w:rPr>
              <w:noProof/>
            </w:rPr>
            <w:t>3</w:t>
          </w:r>
          <w:r w:rsidR="00DA2DD4">
            <w:rPr>
              <w:noProof/>
            </w:rPr>
            <w:fldChar w:fldCharType="end"/>
          </w:r>
        </w:p>
      </w:tc>
    </w:tr>
  </w:tbl>
  <w:p w14:paraId="1660206A" w14:textId="2E00C6E0" w:rsidR="005444F1" w:rsidRPr="00CE36CD" w:rsidRDefault="005444F1" w:rsidP="00CE36CD">
    <w:pPr>
      <w:pStyle w:val="Kopfzeile"/>
      <w:pBdr>
        <w:bottom w:val="none" w:sz="0" w:space="0" w:color="auto"/>
      </w:pBdr>
    </w:pPr>
  </w:p>
  <w:p w14:paraId="00C85097" w14:textId="77777777" w:rsidR="005444F1" w:rsidRDefault="005444F1"/>
  <w:p w14:paraId="1B5E9F3A" w14:textId="77777777" w:rsidR="00BB28EB" w:rsidRDefault="00BB28E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7217"/>
    <w:multiLevelType w:val="multilevel"/>
    <w:tmpl w:val="37726B5E"/>
    <w:lvl w:ilvl="0">
      <w:start w:val="5"/>
      <w:numFmt w:val="decimal"/>
      <w:lvlText w:val="%1"/>
      <w:lvlJc w:val="left"/>
      <w:pPr>
        <w:ind w:left="475" w:hanging="475"/>
      </w:pPr>
      <w:rPr>
        <w:rFonts w:hint="default"/>
      </w:rPr>
    </w:lvl>
    <w:lvl w:ilvl="1">
      <w:numFmt w:val="decimal"/>
      <w:lvlText w:val="%1.%2"/>
      <w:lvlJc w:val="left"/>
      <w:pPr>
        <w:ind w:left="617"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F527B16"/>
    <w:multiLevelType w:val="multilevel"/>
    <w:tmpl w:val="326237CE"/>
    <w:lvl w:ilvl="0">
      <w:start w:val="1"/>
      <w:numFmt w:val="decimal"/>
      <w:pStyle w:val="berschrift1"/>
      <w:lvlText w:val="%1."/>
      <w:lvlJc w:val="left"/>
      <w:pPr>
        <w:ind w:left="360" w:hanging="360"/>
      </w:pPr>
      <w:rPr>
        <w:rFonts w:hint="default"/>
        <w:b/>
        <w:color w:val="auto"/>
        <w:sz w:val="28"/>
        <w:szCs w:val="28"/>
      </w:rPr>
    </w:lvl>
    <w:lvl w:ilvl="1">
      <w:start w:val="1"/>
      <w:numFmt w:val="decimal"/>
      <w:pStyle w:val="berschrift2"/>
      <w:lvlText w:val="%1.%2."/>
      <w:lvlJc w:val="left"/>
      <w:pPr>
        <w:tabs>
          <w:tab w:val="num" w:pos="720"/>
        </w:tabs>
        <w:ind w:left="454" w:hanging="454"/>
      </w:pPr>
      <w:rPr>
        <w:rFonts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tabs>
          <w:tab w:val="num" w:pos="2128"/>
        </w:tabs>
        <w:ind w:left="2128" w:hanging="85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pStyle w:val="berschrift4"/>
      <w:lvlText w:val=""/>
      <w:lvlJc w:val="left"/>
      <w:pPr>
        <w:tabs>
          <w:tab w:val="num" w:pos="360"/>
        </w:tabs>
        <w:ind w:left="284" w:hanging="284"/>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13C47159"/>
    <w:multiLevelType w:val="hybridMultilevel"/>
    <w:tmpl w:val="840071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D665257"/>
    <w:multiLevelType w:val="hybridMultilevel"/>
    <w:tmpl w:val="F872DA16"/>
    <w:lvl w:ilvl="0" w:tplc="1BF4E9CE">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49B6506"/>
    <w:multiLevelType w:val="hybridMultilevel"/>
    <w:tmpl w:val="F8AED998"/>
    <w:lvl w:ilvl="0" w:tplc="2FE00BB8">
      <w:start w:val="1"/>
      <w:numFmt w:val="decimal"/>
      <w:suff w:val="nothing"/>
      <w:lvlText w:val="[REF%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9B05D9D"/>
    <w:multiLevelType w:val="hybridMultilevel"/>
    <w:tmpl w:val="3A5EA9F6"/>
    <w:lvl w:ilvl="0" w:tplc="74A67244">
      <w:start w:val="1"/>
      <w:numFmt w:val="decimalZero"/>
      <w:pStyle w:val="TPNummerierung"/>
      <w:lvlText w:val="TP-%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A0A42A9"/>
    <w:multiLevelType w:val="multilevel"/>
    <w:tmpl w:val="3A86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7C5AB4"/>
    <w:multiLevelType w:val="hybridMultilevel"/>
    <w:tmpl w:val="90628FDE"/>
    <w:lvl w:ilvl="0" w:tplc="4E3221F2">
      <w:start w:val="5"/>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CD27B4A"/>
    <w:multiLevelType w:val="hybridMultilevel"/>
    <w:tmpl w:val="2486A104"/>
    <w:lvl w:ilvl="0" w:tplc="33B28A9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FF6448"/>
    <w:multiLevelType w:val="hybridMultilevel"/>
    <w:tmpl w:val="198A0D7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F801850"/>
    <w:multiLevelType w:val="hybridMultilevel"/>
    <w:tmpl w:val="840071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361036B"/>
    <w:multiLevelType w:val="hybridMultilevel"/>
    <w:tmpl w:val="72D490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07233E"/>
    <w:multiLevelType w:val="hybridMultilevel"/>
    <w:tmpl w:val="AA18CCE8"/>
    <w:lvl w:ilvl="0" w:tplc="9D6A944C">
      <w:start w:val="1"/>
      <w:numFmt w:val="decimal"/>
      <w:lvlText w:val="%1"/>
      <w:lvlJc w:val="left"/>
      <w:pPr>
        <w:tabs>
          <w:tab w:val="num" w:pos="360"/>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56F957B5"/>
    <w:multiLevelType w:val="hybridMultilevel"/>
    <w:tmpl w:val="39EC7108"/>
    <w:lvl w:ilvl="0" w:tplc="57420CCC">
      <w:start w:val="1"/>
      <w:numFmt w:val="decimalZero"/>
      <w:suff w:val="nothing"/>
      <w:lvlText w:val="[Step%1]"/>
      <w:lvlJc w:val="left"/>
      <w:pPr>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74F1504"/>
    <w:multiLevelType w:val="hybridMultilevel"/>
    <w:tmpl w:val="FF98FEB8"/>
    <w:lvl w:ilvl="0" w:tplc="202A76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99D6843"/>
    <w:multiLevelType w:val="hybridMultilevel"/>
    <w:tmpl w:val="622EF30E"/>
    <w:lvl w:ilvl="0" w:tplc="7E74860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C427F44"/>
    <w:multiLevelType w:val="hybridMultilevel"/>
    <w:tmpl w:val="28209A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FAC46F3"/>
    <w:multiLevelType w:val="hybridMultilevel"/>
    <w:tmpl w:val="2E085958"/>
    <w:lvl w:ilvl="0" w:tplc="78F25BB8">
      <w:start w:val="1"/>
      <w:numFmt w:val="decimalZero"/>
      <w:suff w:val="nothing"/>
      <w:lvlText w:val="[Step%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12"/>
  </w:num>
  <w:num w:numId="5">
    <w:abstractNumId w:val="3"/>
  </w:num>
  <w:num w:numId="6">
    <w:abstractNumId w:val="16"/>
  </w:num>
  <w:num w:numId="7">
    <w:abstractNumId w:val="2"/>
  </w:num>
  <w:num w:numId="8">
    <w:abstractNumId w:val="10"/>
  </w:num>
  <w:num w:numId="9">
    <w:abstractNumId w:val="1"/>
  </w:num>
  <w:num w:numId="10">
    <w:abstractNumId w:val="1"/>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 w:numId="13">
    <w:abstractNumId w:val="8"/>
  </w:num>
  <w:num w:numId="14">
    <w:abstractNumId w:val="14"/>
  </w:num>
  <w:num w:numId="15">
    <w:abstractNumId w:val="15"/>
  </w:num>
  <w:num w:numId="16">
    <w:abstractNumId w:val="4"/>
  </w:num>
  <w:num w:numId="17">
    <w:abstractNumId w:val="1"/>
  </w:num>
  <w:num w:numId="18">
    <w:abstractNumId w:val="17"/>
  </w:num>
  <w:num w:numId="19">
    <w:abstractNumId w:val="13"/>
  </w:num>
  <w:num w:numId="20">
    <w:abstractNumId w:val="11"/>
  </w:num>
  <w:num w:numId="21">
    <w:abstractNumId w:val="7"/>
  </w:num>
  <w:num w:numId="2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ttachedTemplate r:id="rId1"/>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A20"/>
    <w:rsid w:val="00001A60"/>
    <w:rsid w:val="00007878"/>
    <w:rsid w:val="00014330"/>
    <w:rsid w:val="00014FBD"/>
    <w:rsid w:val="000173CE"/>
    <w:rsid w:val="000205A5"/>
    <w:rsid w:val="0002310E"/>
    <w:rsid w:val="00023A07"/>
    <w:rsid w:val="000300CF"/>
    <w:rsid w:val="0003370C"/>
    <w:rsid w:val="0003396C"/>
    <w:rsid w:val="000348C8"/>
    <w:rsid w:val="000350A3"/>
    <w:rsid w:val="00035AD3"/>
    <w:rsid w:val="00037C57"/>
    <w:rsid w:val="00037E39"/>
    <w:rsid w:val="00040AB0"/>
    <w:rsid w:val="00044869"/>
    <w:rsid w:val="00044B95"/>
    <w:rsid w:val="000462EC"/>
    <w:rsid w:val="000522F7"/>
    <w:rsid w:val="00053BD9"/>
    <w:rsid w:val="00062FAF"/>
    <w:rsid w:val="000637B8"/>
    <w:rsid w:val="00064DC4"/>
    <w:rsid w:val="0006517C"/>
    <w:rsid w:val="00066F70"/>
    <w:rsid w:val="000674A6"/>
    <w:rsid w:val="00070AC4"/>
    <w:rsid w:val="000710A6"/>
    <w:rsid w:val="00073E74"/>
    <w:rsid w:val="000776D9"/>
    <w:rsid w:val="00086B82"/>
    <w:rsid w:val="00090E4C"/>
    <w:rsid w:val="0009192D"/>
    <w:rsid w:val="00095FBF"/>
    <w:rsid w:val="00096786"/>
    <w:rsid w:val="000A36F7"/>
    <w:rsid w:val="000A4B3E"/>
    <w:rsid w:val="000A75B1"/>
    <w:rsid w:val="000B6759"/>
    <w:rsid w:val="000C5F1D"/>
    <w:rsid w:val="000C6B57"/>
    <w:rsid w:val="000D4077"/>
    <w:rsid w:val="000D642C"/>
    <w:rsid w:val="000E127C"/>
    <w:rsid w:val="000E20DC"/>
    <w:rsid w:val="000E3303"/>
    <w:rsid w:val="000E699E"/>
    <w:rsid w:val="000E7262"/>
    <w:rsid w:val="000F5357"/>
    <w:rsid w:val="000F551D"/>
    <w:rsid w:val="00102700"/>
    <w:rsid w:val="00103289"/>
    <w:rsid w:val="001079B2"/>
    <w:rsid w:val="00111D90"/>
    <w:rsid w:val="001137AE"/>
    <w:rsid w:val="0011615F"/>
    <w:rsid w:val="00120930"/>
    <w:rsid w:val="00120E93"/>
    <w:rsid w:val="0012173C"/>
    <w:rsid w:val="0012196C"/>
    <w:rsid w:val="00124106"/>
    <w:rsid w:val="00125A54"/>
    <w:rsid w:val="00126ED5"/>
    <w:rsid w:val="0012769F"/>
    <w:rsid w:val="00130380"/>
    <w:rsid w:val="00133D42"/>
    <w:rsid w:val="00134487"/>
    <w:rsid w:val="001403BA"/>
    <w:rsid w:val="001413F6"/>
    <w:rsid w:val="00142809"/>
    <w:rsid w:val="0014592D"/>
    <w:rsid w:val="00147209"/>
    <w:rsid w:val="001476C9"/>
    <w:rsid w:val="00150D93"/>
    <w:rsid w:val="0015203E"/>
    <w:rsid w:val="00162991"/>
    <w:rsid w:val="00164CDD"/>
    <w:rsid w:val="00172A71"/>
    <w:rsid w:val="00181C34"/>
    <w:rsid w:val="00182629"/>
    <w:rsid w:val="0019132F"/>
    <w:rsid w:val="00195F87"/>
    <w:rsid w:val="001A2C6C"/>
    <w:rsid w:val="001A38DD"/>
    <w:rsid w:val="001A675F"/>
    <w:rsid w:val="001B09D1"/>
    <w:rsid w:val="001C1530"/>
    <w:rsid w:val="001C671E"/>
    <w:rsid w:val="001C7185"/>
    <w:rsid w:val="001D0709"/>
    <w:rsid w:val="001D44F8"/>
    <w:rsid w:val="001D68CE"/>
    <w:rsid w:val="001D723A"/>
    <w:rsid w:val="001E2357"/>
    <w:rsid w:val="001E612A"/>
    <w:rsid w:val="001F36A7"/>
    <w:rsid w:val="0020616B"/>
    <w:rsid w:val="0020726F"/>
    <w:rsid w:val="002110E9"/>
    <w:rsid w:val="00216641"/>
    <w:rsid w:val="002205A3"/>
    <w:rsid w:val="00222D6C"/>
    <w:rsid w:val="00223934"/>
    <w:rsid w:val="002254BD"/>
    <w:rsid w:val="00227797"/>
    <w:rsid w:val="00236084"/>
    <w:rsid w:val="002408B5"/>
    <w:rsid w:val="00242779"/>
    <w:rsid w:val="00270DF0"/>
    <w:rsid w:val="00271ADD"/>
    <w:rsid w:val="002772DC"/>
    <w:rsid w:val="0028067C"/>
    <w:rsid w:val="00285999"/>
    <w:rsid w:val="00290E0A"/>
    <w:rsid w:val="00291B5D"/>
    <w:rsid w:val="002927A2"/>
    <w:rsid w:val="002A498C"/>
    <w:rsid w:val="002B27C0"/>
    <w:rsid w:val="002B4291"/>
    <w:rsid w:val="002B751A"/>
    <w:rsid w:val="002D2F0A"/>
    <w:rsid w:val="002D3364"/>
    <w:rsid w:val="002E071E"/>
    <w:rsid w:val="002E4BED"/>
    <w:rsid w:val="002E535D"/>
    <w:rsid w:val="002F0598"/>
    <w:rsid w:val="002F4F9A"/>
    <w:rsid w:val="00302C4E"/>
    <w:rsid w:val="00305A97"/>
    <w:rsid w:val="00307E61"/>
    <w:rsid w:val="003178A5"/>
    <w:rsid w:val="003242D1"/>
    <w:rsid w:val="003274D6"/>
    <w:rsid w:val="0033020B"/>
    <w:rsid w:val="00332021"/>
    <w:rsid w:val="003349D3"/>
    <w:rsid w:val="00337608"/>
    <w:rsid w:val="00340CED"/>
    <w:rsid w:val="003519F9"/>
    <w:rsid w:val="00352241"/>
    <w:rsid w:val="00381346"/>
    <w:rsid w:val="00385615"/>
    <w:rsid w:val="0038614E"/>
    <w:rsid w:val="0038624B"/>
    <w:rsid w:val="003879AF"/>
    <w:rsid w:val="003902EA"/>
    <w:rsid w:val="00391769"/>
    <w:rsid w:val="003A002E"/>
    <w:rsid w:val="003A053D"/>
    <w:rsid w:val="003A0BA1"/>
    <w:rsid w:val="003A5243"/>
    <w:rsid w:val="003B12F5"/>
    <w:rsid w:val="003B324D"/>
    <w:rsid w:val="003B5054"/>
    <w:rsid w:val="003B7AD6"/>
    <w:rsid w:val="003C1D29"/>
    <w:rsid w:val="003C7C83"/>
    <w:rsid w:val="003D2AF7"/>
    <w:rsid w:val="003D3A1B"/>
    <w:rsid w:val="003D4B1D"/>
    <w:rsid w:val="003E4815"/>
    <w:rsid w:val="003F0979"/>
    <w:rsid w:val="003F2BFA"/>
    <w:rsid w:val="003F5A8D"/>
    <w:rsid w:val="003F6A00"/>
    <w:rsid w:val="003F73A1"/>
    <w:rsid w:val="00400386"/>
    <w:rsid w:val="0040251D"/>
    <w:rsid w:val="00402F4C"/>
    <w:rsid w:val="0040493A"/>
    <w:rsid w:val="0040620E"/>
    <w:rsid w:val="00407322"/>
    <w:rsid w:val="0041459D"/>
    <w:rsid w:val="00414687"/>
    <w:rsid w:val="00415F23"/>
    <w:rsid w:val="004204AE"/>
    <w:rsid w:val="00420A3B"/>
    <w:rsid w:val="0042234A"/>
    <w:rsid w:val="00422818"/>
    <w:rsid w:val="0042308A"/>
    <w:rsid w:val="004234A5"/>
    <w:rsid w:val="004236B2"/>
    <w:rsid w:val="004279B0"/>
    <w:rsid w:val="004306E6"/>
    <w:rsid w:val="00433BEC"/>
    <w:rsid w:val="00437D0B"/>
    <w:rsid w:val="004431BD"/>
    <w:rsid w:val="004434C2"/>
    <w:rsid w:val="0044778E"/>
    <w:rsid w:val="00447903"/>
    <w:rsid w:val="00451A69"/>
    <w:rsid w:val="00453A1B"/>
    <w:rsid w:val="00455ECE"/>
    <w:rsid w:val="00462328"/>
    <w:rsid w:val="00470781"/>
    <w:rsid w:val="0047723E"/>
    <w:rsid w:val="00480820"/>
    <w:rsid w:val="00481500"/>
    <w:rsid w:val="00493C76"/>
    <w:rsid w:val="004A0DA3"/>
    <w:rsid w:val="004A1069"/>
    <w:rsid w:val="004A4A9F"/>
    <w:rsid w:val="004A572D"/>
    <w:rsid w:val="004A6A98"/>
    <w:rsid w:val="004B127C"/>
    <w:rsid w:val="004B53F4"/>
    <w:rsid w:val="004C39B0"/>
    <w:rsid w:val="004C6A89"/>
    <w:rsid w:val="004C7353"/>
    <w:rsid w:val="004C7BC4"/>
    <w:rsid w:val="004D2F1D"/>
    <w:rsid w:val="004E3276"/>
    <w:rsid w:val="004E5540"/>
    <w:rsid w:val="004E554B"/>
    <w:rsid w:val="004F06E0"/>
    <w:rsid w:val="004F337A"/>
    <w:rsid w:val="004F34ED"/>
    <w:rsid w:val="004F3544"/>
    <w:rsid w:val="004F523E"/>
    <w:rsid w:val="004F7A77"/>
    <w:rsid w:val="00500AEC"/>
    <w:rsid w:val="005025C3"/>
    <w:rsid w:val="00503F85"/>
    <w:rsid w:val="005059E0"/>
    <w:rsid w:val="00507840"/>
    <w:rsid w:val="00516AA0"/>
    <w:rsid w:val="00516F9F"/>
    <w:rsid w:val="005173EF"/>
    <w:rsid w:val="005174B8"/>
    <w:rsid w:val="005205AD"/>
    <w:rsid w:val="005226CF"/>
    <w:rsid w:val="00526964"/>
    <w:rsid w:val="005311E6"/>
    <w:rsid w:val="00531C7E"/>
    <w:rsid w:val="005342BB"/>
    <w:rsid w:val="005444F1"/>
    <w:rsid w:val="00547615"/>
    <w:rsid w:val="00555264"/>
    <w:rsid w:val="00556693"/>
    <w:rsid w:val="0055799A"/>
    <w:rsid w:val="0056246D"/>
    <w:rsid w:val="005728E5"/>
    <w:rsid w:val="0058174F"/>
    <w:rsid w:val="00582D78"/>
    <w:rsid w:val="005A134D"/>
    <w:rsid w:val="005A14A7"/>
    <w:rsid w:val="005A1DA9"/>
    <w:rsid w:val="005A4754"/>
    <w:rsid w:val="005A7012"/>
    <w:rsid w:val="005B2317"/>
    <w:rsid w:val="005B352D"/>
    <w:rsid w:val="005B3D4A"/>
    <w:rsid w:val="005B5EAD"/>
    <w:rsid w:val="005B731B"/>
    <w:rsid w:val="005C2546"/>
    <w:rsid w:val="005C3441"/>
    <w:rsid w:val="005D2471"/>
    <w:rsid w:val="005D28C8"/>
    <w:rsid w:val="005D46FE"/>
    <w:rsid w:val="005E26D5"/>
    <w:rsid w:val="005E7B42"/>
    <w:rsid w:val="005F05EF"/>
    <w:rsid w:val="005F07B1"/>
    <w:rsid w:val="005F7D83"/>
    <w:rsid w:val="00610124"/>
    <w:rsid w:val="00616CB4"/>
    <w:rsid w:val="00617AA1"/>
    <w:rsid w:val="00626EA6"/>
    <w:rsid w:val="00627D6D"/>
    <w:rsid w:val="00631B84"/>
    <w:rsid w:val="00632E73"/>
    <w:rsid w:val="00633E8C"/>
    <w:rsid w:val="00634DCF"/>
    <w:rsid w:val="006402F3"/>
    <w:rsid w:val="00643308"/>
    <w:rsid w:val="00643D07"/>
    <w:rsid w:val="00655D88"/>
    <w:rsid w:val="006743AF"/>
    <w:rsid w:val="0069244A"/>
    <w:rsid w:val="006B1D39"/>
    <w:rsid w:val="006B5D5B"/>
    <w:rsid w:val="006C2153"/>
    <w:rsid w:val="006C2890"/>
    <w:rsid w:val="006C380C"/>
    <w:rsid w:val="006C5C06"/>
    <w:rsid w:val="006D31CB"/>
    <w:rsid w:val="006F3D9B"/>
    <w:rsid w:val="0070502B"/>
    <w:rsid w:val="00705E63"/>
    <w:rsid w:val="007102D8"/>
    <w:rsid w:val="00711234"/>
    <w:rsid w:val="00713A6F"/>
    <w:rsid w:val="0072579E"/>
    <w:rsid w:val="00726F13"/>
    <w:rsid w:val="00733024"/>
    <w:rsid w:val="007336CE"/>
    <w:rsid w:val="007356AD"/>
    <w:rsid w:val="007367D6"/>
    <w:rsid w:val="00740684"/>
    <w:rsid w:val="0076030E"/>
    <w:rsid w:val="00760C21"/>
    <w:rsid w:val="0076480E"/>
    <w:rsid w:val="00764A48"/>
    <w:rsid w:val="00766371"/>
    <w:rsid w:val="00771368"/>
    <w:rsid w:val="00771E9E"/>
    <w:rsid w:val="007721AB"/>
    <w:rsid w:val="00777168"/>
    <w:rsid w:val="007835A8"/>
    <w:rsid w:val="00783C47"/>
    <w:rsid w:val="00791F11"/>
    <w:rsid w:val="00792B01"/>
    <w:rsid w:val="00794D26"/>
    <w:rsid w:val="007955B5"/>
    <w:rsid w:val="007957CF"/>
    <w:rsid w:val="007A16C1"/>
    <w:rsid w:val="007A415F"/>
    <w:rsid w:val="007B5BF9"/>
    <w:rsid w:val="007B62EB"/>
    <w:rsid w:val="007B7B15"/>
    <w:rsid w:val="007C1CC9"/>
    <w:rsid w:val="007C718A"/>
    <w:rsid w:val="007D2919"/>
    <w:rsid w:val="007D40E0"/>
    <w:rsid w:val="007E1932"/>
    <w:rsid w:val="007F3812"/>
    <w:rsid w:val="007F4DD8"/>
    <w:rsid w:val="0080031C"/>
    <w:rsid w:val="00802C63"/>
    <w:rsid w:val="00812235"/>
    <w:rsid w:val="0081316E"/>
    <w:rsid w:val="00813365"/>
    <w:rsid w:val="00824EF9"/>
    <w:rsid w:val="00832B53"/>
    <w:rsid w:val="00837DF0"/>
    <w:rsid w:val="00840346"/>
    <w:rsid w:val="008409CE"/>
    <w:rsid w:val="00852BA4"/>
    <w:rsid w:val="00853A1A"/>
    <w:rsid w:val="0086777B"/>
    <w:rsid w:val="008747C9"/>
    <w:rsid w:val="0089174B"/>
    <w:rsid w:val="008A0843"/>
    <w:rsid w:val="008B1371"/>
    <w:rsid w:val="008B15E3"/>
    <w:rsid w:val="008C642E"/>
    <w:rsid w:val="008D35A6"/>
    <w:rsid w:val="008D5188"/>
    <w:rsid w:val="008D549B"/>
    <w:rsid w:val="008E0FDB"/>
    <w:rsid w:val="008E57F8"/>
    <w:rsid w:val="008E7FD3"/>
    <w:rsid w:val="008F3816"/>
    <w:rsid w:val="008F3DF0"/>
    <w:rsid w:val="008F413B"/>
    <w:rsid w:val="008F4239"/>
    <w:rsid w:val="008F54D8"/>
    <w:rsid w:val="008F7108"/>
    <w:rsid w:val="00902577"/>
    <w:rsid w:val="00904DF8"/>
    <w:rsid w:val="0091259F"/>
    <w:rsid w:val="009134C6"/>
    <w:rsid w:val="00913B9A"/>
    <w:rsid w:val="009206EE"/>
    <w:rsid w:val="00922BB0"/>
    <w:rsid w:val="00931E90"/>
    <w:rsid w:val="00953010"/>
    <w:rsid w:val="00953161"/>
    <w:rsid w:val="009734C6"/>
    <w:rsid w:val="00974C60"/>
    <w:rsid w:val="009770C3"/>
    <w:rsid w:val="0098225F"/>
    <w:rsid w:val="009823AA"/>
    <w:rsid w:val="009829E4"/>
    <w:rsid w:val="00982C43"/>
    <w:rsid w:val="009849F0"/>
    <w:rsid w:val="00987DFE"/>
    <w:rsid w:val="00992E6E"/>
    <w:rsid w:val="00994DFD"/>
    <w:rsid w:val="009A77C5"/>
    <w:rsid w:val="009A793F"/>
    <w:rsid w:val="009B1C85"/>
    <w:rsid w:val="009B2AD4"/>
    <w:rsid w:val="009B2CBA"/>
    <w:rsid w:val="009C039B"/>
    <w:rsid w:val="009C48F9"/>
    <w:rsid w:val="009C592B"/>
    <w:rsid w:val="009C79BC"/>
    <w:rsid w:val="009D5D4D"/>
    <w:rsid w:val="009E3442"/>
    <w:rsid w:val="009F056E"/>
    <w:rsid w:val="009F489B"/>
    <w:rsid w:val="00A03657"/>
    <w:rsid w:val="00A07851"/>
    <w:rsid w:val="00A07858"/>
    <w:rsid w:val="00A101FD"/>
    <w:rsid w:val="00A10721"/>
    <w:rsid w:val="00A168CF"/>
    <w:rsid w:val="00A20DA5"/>
    <w:rsid w:val="00A213B1"/>
    <w:rsid w:val="00A24E5E"/>
    <w:rsid w:val="00A32EF7"/>
    <w:rsid w:val="00A342E5"/>
    <w:rsid w:val="00A411D6"/>
    <w:rsid w:val="00A415AD"/>
    <w:rsid w:val="00A45B66"/>
    <w:rsid w:val="00A55AD4"/>
    <w:rsid w:val="00A60ADF"/>
    <w:rsid w:val="00A63367"/>
    <w:rsid w:val="00A656BF"/>
    <w:rsid w:val="00A748E8"/>
    <w:rsid w:val="00A7675C"/>
    <w:rsid w:val="00A80756"/>
    <w:rsid w:val="00A821CC"/>
    <w:rsid w:val="00A91609"/>
    <w:rsid w:val="00A921E3"/>
    <w:rsid w:val="00A97B0B"/>
    <w:rsid w:val="00AB733D"/>
    <w:rsid w:val="00AC5B0A"/>
    <w:rsid w:val="00AD44E3"/>
    <w:rsid w:val="00AD6F44"/>
    <w:rsid w:val="00AE04E5"/>
    <w:rsid w:val="00AE0CFF"/>
    <w:rsid w:val="00AE75E8"/>
    <w:rsid w:val="00AF24FE"/>
    <w:rsid w:val="00AF46E5"/>
    <w:rsid w:val="00AF5B71"/>
    <w:rsid w:val="00B00988"/>
    <w:rsid w:val="00B03C03"/>
    <w:rsid w:val="00B058BF"/>
    <w:rsid w:val="00B107BC"/>
    <w:rsid w:val="00B11D6D"/>
    <w:rsid w:val="00B12D3B"/>
    <w:rsid w:val="00B1370C"/>
    <w:rsid w:val="00B14DCB"/>
    <w:rsid w:val="00B156DC"/>
    <w:rsid w:val="00B3141A"/>
    <w:rsid w:val="00B31666"/>
    <w:rsid w:val="00B348AF"/>
    <w:rsid w:val="00B353C4"/>
    <w:rsid w:val="00B36A6F"/>
    <w:rsid w:val="00B4286F"/>
    <w:rsid w:val="00B429D1"/>
    <w:rsid w:val="00B531AD"/>
    <w:rsid w:val="00B551F3"/>
    <w:rsid w:val="00B70A5E"/>
    <w:rsid w:val="00B75D7F"/>
    <w:rsid w:val="00B77BD4"/>
    <w:rsid w:val="00BB28EB"/>
    <w:rsid w:val="00BB7553"/>
    <w:rsid w:val="00BB775B"/>
    <w:rsid w:val="00BC0CC7"/>
    <w:rsid w:val="00BD0215"/>
    <w:rsid w:val="00BD08B6"/>
    <w:rsid w:val="00BD0985"/>
    <w:rsid w:val="00BD0F8A"/>
    <w:rsid w:val="00BE7129"/>
    <w:rsid w:val="00BF4335"/>
    <w:rsid w:val="00C01F68"/>
    <w:rsid w:val="00C13229"/>
    <w:rsid w:val="00C20DE6"/>
    <w:rsid w:val="00C218FE"/>
    <w:rsid w:val="00C23D06"/>
    <w:rsid w:val="00C3774D"/>
    <w:rsid w:val="00C37D1A"/>
    <w:rsid w:val="00C412BB"/>
    <w:rsid w:val="00C41404"/>
    <w:rsid w:val="00C414E4"/>
    <w:rsid w:val="00C466B1"/>
    <w:rsid w:val="00C51708"/>
    <w:rsid w:val="00C529F5"/>
    <w:rsid w:val="00C56C01"/>
    <w:rsid w:val="00C575BD"/>
    <w:rsid w:val="00C637A0"/>
    <w:rsid w:val="00C65B04"/>
    <w:rsid w:val="00C664CF"/>
    <w:rsid w:val="00C66B2A"/>
    <w:rsid w:val="00C773FF"/>
    <w:rsid w:val="00C81F0F"/>
    <w:rsid w:val="00C829E4"/>
    <w:rsid w:val="00C90DEE"/>
    <w:rsid w:val="00C90E0C"/>
    <w:rsid w:val="00C951E0"/>
    <w:rsid w:val="00CA3A20"/>
    <w:rsid w:val="00CA46DB"/>
    <w:rsid w:val="00CA68C3"/>
    <w:rsid w:val="00CA7C34"/>
    <w:rsid w:val="00CB7041"/>
    <w:rsid w:val="00CD3455"/>
    <w:rsid w:val="00CD77AF"/>
    <w:rsid w:val="00CE2109"/>
    <w:rsid w:val="00CE36CD"/>
    <w:rsid w:val="00D07DC3"/>
    <w:rsid w:val="00D12DFC"/>
    <w:rsid w:val="00D132CC"/>
    <w:rsid w:val="00D25036"/>
    <w:rsid w:val="00D25B78"/>
    <w:rsid w:val="00D27563"/>
    <w:rsid w:val="00D35AA7"/>
    <w:rsid w:val="00D429BD"/>
    <w:rsid w:val="00D43724"/>
    <w:rsid w:val="00D470EA"/>
    <w:rsid w:val="00D57036"/>
    <w:rsid w:val="00D57475"/>
    <w:rsid w:val="00D7616F"/>
    <w:rsid w:val="00D81C6A"/>
    <w:rsid w:val="00D81FC7"/>
    <w:rsid w:val="00D9119A"/>
    <w:rsid w:val="00D926B5"/>
    <w:rsid w:val="00D96285"/>
    <w:rsid w:val="00D96CB0"/>
    <w:rsid w:val="00DA0113"/>
    <w:rsid w:val="00DA2DD4"/>
    <w:rsid w:val="00DA7770"/>
    <w:rsid w:val="00DB1983"/>
    <w:rsid w:val="00DB22BB"/>
    <w:rsid w:val="00DB7158"/>
    <w:rsid w:val="00DC0166"/>
    <w:rsid w:val="00DC1772"/>
    <w:rsid w:val="00DC63AC"/>
    <w:rsid w:val="00DD12C2"/>
    <w:rsid w:val="00DD17C1"/>
    <w:rsid w:val="00DD35D1"/>
    <w:rsid w:val="00DD48E8"/>
    <w:rsid w:val="00DE0E0E"/>
    <w:rsid w:val="00DE56EF"/>
    <w:rsid w:val="00DE5F92"/>
    <w:rsid w:val="00DE7A63"/>
    <w:rsid w:val="00DF09FA"/>
    <w:rsid w:val="00DF3CDB"/>
    <w:rsid w:val="00DF5D11"/>
    <w:rsid w:val="00DF67E4"/>
    <w:rsid w:val="00E00317"/>
    <w:rsid w:val="00E106BF"/>
    <w:rsid w:val="00E200AA"/>
    <w:rsid w:val="00E20B5B"/>
    <w:rsid w:val="00E21C68"/>
    <w:rsid w:val="00E21EE4"/>
    <w:rsid w:val="00E22E1A"/>
    <w:rsid w:val="00E307C3"/>
    <w:rsid w:val="00E31342"/>
    <w:rsid w:val="00E336C1"/>
    <w:rsid w:val="00E35015"/>
    <w:rsid w:val="00E40EA0"/>
    <w:rsid w:val="00E43D7D"/>
    <w:rsid w:val="00E47B9E"/>
    <w:rsid w:val="00E5014E"/>
    <w:rsid w:val="00E5096F"/>
    <w:rsid w:val="00E5349C"/>
    <w:rsid w:val="00E53A96"/>
    <w:rsid w:val="00E57E04"/>
    <w:rsid w:val="00E61FED"/>
    <w:rsid w:val="00E666C9"/>
    <w:rsid w:val="00E67FB0"/>
    <w:rsid w:val="00E73111"/>
    <w:rsid w:val="00E81F42"/>
    <w:rsid w:val="00E82653"/>
    <w:rsid w:val="00E86505"/>
    <w:rsid w:val="00E903E7"/>
    <w:rsid w:val="00E91C07"/>
    <w:rsid w:val="00EA37FE"/>
    <w:rsid w:val="00EA7DF5"/>
    <w:rsid w:val="00EB054E"/>
    <w:rsid w:val="00EB7850"/>
    <w:rsid w:val="00ED4726"/>
    <w:rsid w:val="00ED67F9"/>
    <w:rsid w:val="00ED7E7C"/>
    <w:rsid w:val="00EE73C6"/>
    <w:rsid w:val="00EF0103"/>
    <w:rsid w:val="00EF21AE"/>
    <w:rsid w:val="00EF461B"/>
    <w:rsid w:val="00EF5281"/>
    <w:rsid w:val="00EF703A"/>
    <w:rsid w:val="00F06F7D"/>
    <w:rsid w:val="00F1567B"/>
    <w:rsid w:val="00F168B6"/>
    <w:rsid w:val="00F24E1B"/>
    <w:rsid w:val="00F2697D"/>
    <w:rsid w:val="00F30014"/>
    <w:rsid w:val="00F311FC"/>
    <w:rsid w:val="00F40D11"/>
    <w:rsid w:val="00F4201D"/>
    <w:rsid w:val="00F44B65"/>
    <w:rsid w:val="00F47730"/>
    <w:rsid w:val="00F47877"/>
    <w:rsid w:val="00F516DF"/>
    <w:rsid w:val="00F522D5"/>
    <w:rsid w:val="00F53F06"/>
    <w:rsid w:val="00F5478E"/>
    <w:rsid w:val="00F623EE"/>
    <w:rsid w:val="00F6361B"/>
    <w:rsid w:val="00F6663E"/>
    <w:rsid w:val="00F8092E"/>
    <w:rsid w:val="00F956E2"/>
    <w:rsid w:val="00F957B0"/>
    <w:rsid w:val="00F96C94"/>
    <w:rsid w:val="00F97CF8"/>
    <w:rsid w:val="00FA3320"/>
    <w:rsid w:val="00FA5D2E"/>
    <w:rsid w:val="00FB6E62"/>
    <w:rsid w:val="00FC3A0B"/>
    <w:rsid w:val="00FD1392"/>
    <w:rsid w:val="00FD5CFD"/>
    <w:rsid w:val="00FD73E4"/>
    <w:rsid w:val="00FD7AC8"/>
    <w:rsid w:val="00FE1292"/>
    <w:rsid w:val="00FE21CA"/>
    <w:rsid w:val="00FF5346"/>
    <w:rsid w:val="00FF7E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C615F2"/>
  <w15:docId w15:val="{BE5959DA-929A-441F-8481-CDFB5144F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9"/>
    <w:qFormat/>
    <w:rsid w:val="007336CE"/>
    <w:rPr>
      <w:rFonts w:ascii="Calibri" w:hAnsi="Calibri"/>
      <w:sz w:val="22"/>
      <w:lang w:val="en-GB"/>
    </w:rPr>
  </w:style>
  <w:style w:type="paragraph" w:styleId="berschrift1">
    <w:name w:val="heading 1"/>
    <w:basedOn w:val="Standard"/>
    <w:next w:val="Standard"/>
    <w:link w:val="berschrift1Zchn"/>
    <w:qFormat/>
    <w:rsid w:val="002E535D"/>
    <w:pPr>
      <w:keepNext/>
      <w:numPr>
        <w:numId w:val="1"/>
      </w:numPr>
      <w:spacing w:before="360" w:after="120"/>
      <w:ind w:left="426" w:hanging="426"/>
      <w:outlineLvl w:val="0"/>
    </w:pPr>
    <w:rPr>
      <w:rFonts w:cs="Calibri"/>
      <w:b/>
      <w:smallCaps/>
      <w:sz w:val="28"/>
    </w:rPr>
  </w:style>
  <w:style w:type="paragraph" w:styleId="berschrift2">
    <w:name w:val="heading 2"/>
    <w:basedOn w:val="Standard"/>
    <w:next w:val="Standard"/>
    <w:link w:val="berschrift2Zchn"/>
    <w:qFormat/>
    <w:rsid w:val="002E535D"/>
    <w:pPr>
      <w:keepNext/>
      <w:numPr>
        <w:ilvl w:val="1"/>
        <w:numId w:val="1"/>
      </w:numPr>
      <w:tabs>
        <w:tab w:val="clear" w:pos="720"/>
      </w:tabs>
      <w:spacing w:before="120" w:after="120"/>
      <w:ind w:left="426" w:hanging="426"/>
      <w:outlineLvl w:val="1"/>
    </w:pPr>
    <w:rPr>
      <w:rFonts w:eastAsia="MS Mincho" w:cs="Calibri"/>
      <w:b/>
      <w:sz w:val="24"/>
    </w:rPr>
  </w:style>
  <w:style w:type="paragraph" w:styleId="berschrift3">
    <w:name w:val="heading 3"/>
    <w:basedOn w:val="Standard"/>
    <w:next w:val="Standard"/>
    <w:link w:val="berschrift3Zchn"/>
    <w:qFormat/>
    <w:rsid w:val="00500AEC"/>
    <w:pPr>
      <w:keepNext/>
      <w:numPr>
        <w:ilvl w:val="2"/>
        <w:numId w:val="1"/>
      </w:numPr>
      <w:tabs>
        <w:tab w:val="clear" w:pos="2128"/>
        <w:tab w:val="num" w:pos="1134"/>
      </w:tabs>
      <w:spacing w:before="120" w:after="120"/>
      <w:ind w:left="340" w:firstLine="0"/>
      <w:outlineLvl w:val="2"/>
    </w:pPr>
    <w:rPr>
      <w:rFonts w:eastAsia="MS Mincho" w:cs="Calibri"/>
      <w:b/>
      <w:lang w:val="de-DE"/>
    </w:rPr>
  </w:style>
  <w:style w:type="paragraph" w:styleId="berschrift4">
    <w:name w:val="heading 4"/>
    <w:basedOn w:val="Standard"/>
    <w:next w:val="Standardeinzug"/>
    <w:qFormat/>
    <w:rsid w:val="00C529F5"/>
    <w:pPr>
      <w:keepNext/>
      <w:numPr>
        <w:ilvl w:val="3"/>
        <w:numId w:val="1"/>
      </w:numPr>
      <w:spacing w:before="120" w:after="120"/>
      <w:outlineLvl w:val="3"/>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3A0BA1"/>
    <w:pPr>
      <w:pBdr>
        <w:bottom w:val="single" w:sz="4" w:space="1" w:color="auto"/>
      </w:pBdr>
      <w:tabs>
        <w:tab w:val="center" w:pos="4819"/>
        <w:tab w:val="right" w:pos="9923"/>
      </w:tabs>
    </w:pPr>
    <w:rPr>
      <w:b/>
      <w:sz w:val="20"/>
    </w:rPr>
  </w:style>
  <w:style w:type="paragraph" w:styleId="Fuzeile">
    <w:name w:val="footer"/>
    <w:basedOn w:val="Standard"/>
    <w:link w:val="FuzeileZchn"/>
    <w:uiPriority w:val="99"/>
    <w:rsid w:val="003A0BA1"/>
    <w:rPr>
      <w:sz w:val="16"/>
    </w:rPr>
  </w:style>
  <w:style w:type="character" w:styleId="BesuchterLink">
    <w:name w:val="FollowedHyperlink"/>
    <w:basedOn w:val="Hyperlink"/>
    <w:uiPriority w:val="29"/>
    <w:rsid w:val="003A0BA1"/>
    <w:rPr>
      <w:rFonts w:ascii="Arial" w:hAnsi="Arial"/>
      <w:color w:val="800080"/>
      <w:sz w:val="22"/>
      <w:u w:val="single"/>
    </w:rPr>
  </w:style>
  <w:style w:type="character" w:styleId="Hyperlink">
    <w:name w:val="Hyperlink"/>
    <w:uiPriority w:val="99"/>
    <w:rsid w:val="00C529F5"/>
    <w:rPr>
      <w:rFonts w:ascii="Calibri" w:hAnsi="Calibri"/>
      <w:color w:val="0000FF"/>
      <w:sz w:val="22"/>
      <w:u w:val="single"/>
    </w:rPr>
  </w:style>
  <w:style w:type="paragraph" w:styleId="Standardeinzug">
    <w:name w:val="Normal Indent"/>
    <w:basedOn w:val="Standard"/>
    <w:semiHidden/>
    <w:rsid w:val="003A0BA1"/>
    <w:pPr>
      <w:ind w:left="708"/>
    </w:pPr>
  </w:style>
  <w:style w:type="paragraph" w:customStyle="1" w:styleId="Verborgen">
    <w:name w:val="Verborgen"/>
    <w:basedOn w:val="Standard"/>
    <w:next w:val="Standard"/>
    <w:uiPriority w:val="29"/>
    <w:rsid w:val="003A0BA1"/>
    <w:rPr>
      <w:vanish/>
      <w:color w:val="FF0000"/>
    </w:rPr>
  </w:style>
  <w:style w:type="paragraph" w:styleId="Verzeichnis1">
    <w:name w:val="toc 1"/>
    <w:basedOn w:val="Standard"/>
    <w:next w:val="Standard"/>
    <w:uiPriority w:val="39"/>
    <w:rsid w:val="003A0BA1"/>
    <w:pPr>
      <w:tabs>
        <w:tab w:val="right" w:leader="dot" w:pos="9922"/>
      </w:tabs>
      <w:spacing w:before="60" w:after="60"/>
      <w:ind w:left="567" w:hanging="567"/>
    </w:pPr>
    <w:rPr>
      <w:rFonts w:eastAsia="MS Mincho"/>
      <w:smallCaps/>
      <w:noProof/>
      <w:sz w:val="24"/>
      <w:szCs w:val="32"/>
    </w:rPr>
  </w:style>
  <w:style w:type="paragraph" w:styleId="Verzeichnis2">
    <w:name w:val="toc 2"/>
    <w:basedOn w:val="Verzeichnis1"/>
    <w:next w:val="Standard"/>
    <w:link w:val="Verzeichnis2Zchn"/>
    <w:uiPriority w:val="39"/>
    <w:rsid w:val="003A0BA1"/>
    <w:pPr>
      <w:tabs>
        <w:tab w:val="clear" w:pos="9922"/>
        <w:tab w:val="right" w:leader="dot" w:pos="9921"/>
      </w:tabs>
      <w:ind w:left="1418" w:hanging="851"/>
    </w:pPr>
    <w:rPr>
      <w:sz w:val="22"/>
      <w:szCs w:val="24"/>
    </w:rPr>
  </w:style>
  <w:style w:type="paragraph" w:styleId="Verzeichnis3">
    <w:name w:val="toc 3"/>
    <w:basedOn w:val="Verzeichnis1"/>
    <w:next w:val="Standard"/>
    <w:uiPriority w:val="39"/>
    <w:rsid w:val="003A0BA1"/>
    <w:pPr>
      <w:tabs>
        <w:tab w:val="clear" w:pos="9922"/>
        <w:tab w:val="right" w:leader="dot" w:pos="9923"/>
      </w:tabs>
      <w:ind w:left="2268" w:hanging="850"/>
    </w:pPr>
    <w:rPr>
      <w:sz w:val="20"/>
    </w:rPr>
  </w:style>
  <w:style w:type="paragraph" w:styleId="Kommentartext">
    <w:name w:val="annotation text"/>
    <w:basedOn w:val="Standard"/>
    <w:semiHidden/>
    <w:rsid w:val="003A0BA1"/>
    <w:rPr>
      <w:sz w:val="20"/>
    </w:rPr>
  </w:style>
  <w:style w:type="paragraph" w:styleId="Sprechblasentext">
    <w:name w:val="Balloon Text"/>
    <w:basedOn w:val="Standard"/>
    <w:link w:val="SprechblasentextZchn"/>
    <w:uiPriority w:val="99"/>
    <w:semiHidden/>
    <w:unhideWhenUsed/>
    <w:rsid w:val="003A0BA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A0BA1"/>
    <w:rPr>
      <w:rFonts w:ascii="Tahoma" w:hAnsi="Tahoma" w:cs="Tahoma"/>
      <w:sz w:val="16"/>
      <w:szCs w:val="16"/>
      <w:lang w:val="en-US"/>
    </w:rPr>
  </w:style>
  <w:style w:type="paragraph" w:styleId="Beschriftung">
    <w:name w:val="caption"/>
    <w:basedOn w:val="Standard"/>
    <w:next w:val="Standard"/>
    <w:uiPriority w:val="29"/>
    <w:rsid w:val="003A0BA1"/>
    <w:pPr>
      <w:spacing w:before="60" w:after="300"/>
      <w:jc w:val="center"/>
    </w:pPr>
    <w:rPr>
      <w:b/>
      <w:bCs/>
      <w:color w:val="00B0F0"/>
      <w:sz w:val="18"/>
      <w:szCs w:val="18"/>
    </w:rPr>
  </w:style>
  <w:style w:type="paragraph" w:styleId="Listenabsatz">
    <w:name w:val="List Paragraph"/>
    <w:basedOn w:val="Standard"/>
    <w:uiPriority w:val="34"/>
    <w:qFormat/>
    <w:rsid w:val="00C529F5"/>
    <w:pPr>
      <w:ind w:left="720"/>
      <w:contextualSpacing/>
    </w:pPr>
  </w:style>
  <w:style w:type="character" w:customStyle="1" w:styleId="berschrift2Zchn">
    <w:name w:val="Überschrift 2 Zchn"/>
    <w:basedOn w:val="Absatz-Standardschriftart"/>
    <w:link w:val="berschrift2"/>
    <w:rsid w:val="002E535D"/>
    <w:rPr>
      <w:rFonts w:ascii="Calibri" w:eastAsia="MS Mincho" w:hAnsi="Calibri" w:cs="Calibri"/>
      <w:b/>
      <w:sz w:val="24"/>
      <w:lang w:val="en-GB"/>
    </w:rPr>
  </w:style>
  <w:style w:type="paragraph" w:styleId="StandardWeb">
    <w:name w:val="Normal (Web)"/>
    <w:basedOn w:val="Standard"/>
    <w:uiPriority w:val="99"/>
    <w:semiHidden/>
    <w:unhideWhenUsed/>
    <w:rsid w:val="003A0BA1"/>
    <w:rPr>
      <w:rFonts w:ascii="Times New Roman" w:hAnsi="Times New Roman"/>
      <w:sz w:val="24"/>
      <w:szCs w:val="24"/>
    </w:rPr>
  </w:style>
  <w:style w:type="table" w:styleId="Tabellenraster">
    <w:name w:val="Table Grid"/>
    <w:basedOn w:val="NormaleTabelle"/>
    <w:uiPriority w:val="59"/>
    <w:rsid w:val="003A0B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itat">
    <w:name w:val="Quote"/>
    <w:basedOn w:val="Standard"/>
    <w:next w:val="Standard"/>
    <w:link w:val="ZitatZchn"/>
    <w:uiPriority w:val="29"/>
    <w:rsid w:val="003A0BA1"/>
    <w:rPr>
      <w:rFonts w:ascii="Courier New" w:hAnsi="Courier New"/>
      <w:iCs/>
      <w:color w:val="000000" w:themeColor="text1"/>
      <w:sz w:val="20"/>
      <w:lang w:val="de-DE"/>
    </w:rPr>
  </w:style>
  <w:style w:type="character" w:customStyle="1" w:styleId="ZitatZchn">
    <w:name w:val="Zitat Zchn"/>
    <w:basedOn w:val="Absatz-Standardschriftart"/>
    <w:link w:val="Zitat"/>
    <w:uiPriority w:val="29"/>
    <w:rsid w:val="003A0BA1"/>
    <w:rPr>
      <w:rFonts w:ascii="Courier New" w:hAnsi="Courier New"/>
      <w:iCs/>
      <w:color w:val="000000" w:themeColor="text1"/>
    </w:rPr>
  </w:style>
  <w:style w:type="paragraph" w:customStyle="1" w:styleId="TPNummerierung">
    <w:name w:val="TP_Nummerierung"/>
    <w:basedOn w:val="Listenabsatz"/>
    <w:link w:val="TPNummerierungZchn"/>
    <w:uiPriority w:val="9"/>
    <w:qFormat/>
    <w:rsid w:val="00B03C03"/>
    <w:pPr>
      <w:numPr>
        <w:numId w:val="3"/>
      </w:numPr>
      <w:spacing w:before="120" w:after="120"/>
    </w:pPr>
    <w:rPr>
      <w:sz w:val="20"/>
    </w:rPr>
  </w:style>
  <w:style w:type="character" w:customStyle="1" w:styleId="TPNummerierungZchn">
    <w:name w:val="TP_Nummerierung Zchn"/>
    <w:basedOn w:val="Absatz-Standardschriftart"/>
    <w:link w:val="TPNummerierung"/>
    <w:uiPriority w:val="9"/>
    <w:rsid w:val="00B03C03"/>
    <w:rPr>
      <w:rFonts w:ascii="Calibri" w:hAnsi="Calibri"/>
      <w:lang w:val="en-US"/>
    </w:rPr>
  </w:style>
  <w:style w:type="character" w:styleId="Kommentarzeichen">
    <w:name w:val="annotation reference"/>
    <w:basedOn w:val="Absatz-Standardschriftart"/>
    <w:semiHidden/>
    <w:rsid w:val="003A0BA1"/>
    <w:rPr>
      <w:sz w:val="16"/>
      <w:szCs w:val="16"/>
    </w:rPr>
  </w:style>
  <w:style w:type="character" w:styleId="Seitenzahl">
    <w:name w:val="page number"/>
    <w:basedOn w:val="Absatz-Standardschriftart"/>
    <w:semiHidden/>
    <w:rsid w:val="003A0BA1"/>
  </w:style>
  <w:style w:type="paragraph" w:customStyle="1" w:styleId="Tabelle">
    <w:name w:val="Tabelle"/>
    <w:basedOn w:val="Standard"/>
    <w:uiPriority w:val="9"/>
    <w:qFormat/>
    <w:rsid w:val="00C529F5"/>
    <w:pPr>
      <w:spacing w:before="60" w:after="60"/>
    </w:pPr>
    <w:rPr>
      <w:sz w:val="16"/>
      <w:szCs w:val="16"/>
    </w:rPr>
  </w:style>
  <w:style w:type="character" w:customStyle="1" w:styleId="berschrift1Zchn">
    <w:name w:val="Überschrift 1 Zchn"/>
    <w:basedOn w:val="Absatz-Standardschriftart"/>
    <w:link w:val="berschrift1"/>
    <w:rsid w:val="002E535D"/>
    <w:rPr>
      <w:rFonts w:ascii="Calibri" w:hAnsi="Calibri" w:cs="Calibri"/>
      <w:b/>
      <w:smallCaps/>
      <w:sz w:val="28"/>
      <w:lang w:val="en-GB"/>
    </w:rPr>
  </w:style>
  <w:style w:type="character" w:customStyle="1" w:styleId="berschrift3Zchn">
    <w:name w:val="Überschrift 3 Zchn"/>
    <w:basedOn w:val="Absatz-Standardschriftart"/>
    <w:link w:val="berschrift3"/>
    <w:rsid w:val="00500AEC"/>
    <w:rPr>
      <w:rFonts w:ascii="Calibri" w:eastAsia="MS Mincho" w:hAnsi="Calibri" w:cs="Calibri"/>
      <w:b/>
      <w:sz w:val="22"/>
    </w:rPr>
  </w:style>
  <w:style w:type="character" w:customStyle="1" w:styleId="Verzeichnis2Zchn">
    <w:name w:val="Verzeichnis 2 Zchn"/>
    <w:basedOn w:val="Absatz-Standardschriftart"/>
    <w:link w:val="Verzeichnis2"/>
    <w:uiPriority w:val="39"/>
    <w:rsid w:val="003A0BA1"/>
    <w:rPr>
      <w:rFonts w:ascii="Arial" w:eastAsia="MS Mincho" w:hAnsi="Arial"/>
      <w:smallCaps/>
      <w:noProof/>
      <w:sz w:val="22"/>
      <w:szCs w:val="24"/>
      <w:lang w:val="en-US"/>
    </w:rPr>
  </w:style>
  <w:style w:type="paragraph" w:styleId="Abbildungsverzeichnis">
    <w:name w:val="table of figures"/>
    <w:basedOn w:val="Standard"/>
    <w:next w:val="Standard"/>
    <w:uiPriority w:val="99"/>
    <w:unhideWhenUsed/>
    <w:rsid w:val="003A0BA1"/>
    <w:rPr>
      <w:lang w:val="de-DE"/>
    </w:rPr>
  </w:style>
  <w:style w:type="paragraph" w:styleId="Titel">
    <w:name w:val="Title"/>
    <w:basedOn w:val="Standard"/>
    <w:link w:val="TitelZchn"/>
    <w:uiPriority w:val="9"/>
    <w:rsid w:val="00EF0103"/>
    <w:pPr>
      <w:spacing w:before="360" w:after="360"/>
      <w:contextualSpacing/>
      <w:jc w:val="center"/>
    </w:pPr>
    <w:rPr>
      <w:rFonts w:eastAsiaTheme="majorEastAsia" w:cstheme="majorBidi"/>
      <w:b/>
      <w:color w:val="00B0F0"/>
      <w:sz w:val="44"/>
      <w:szCs w:val="52"/>
    </w:rPr>
  </w:style>
  <w:style w:type="character" w:customStyle="1" w:styleId="TitelZchn">
    <w:name w:val="Titel Zchn"/>
    <w:basedOn w:val="Absatz-Standardschriftart"/>
    <w:link w:val="Titel"/>
    <w:uiPriority w:val="9"/>
    <w:rsid w:val="00EF0103"/>
    <w:rPr>
      <w:rFonts w:ascii="Arial" w:eastAsiaTheme="majorEastAsia" w:hAnsi="Arial" w:cstheme="majorBidi"/>
      <w:b/>
      <w:color w:val="00B0F0"/>
      <w:sz w:val="44"/>
      <w:szCs w:val="52"/>
      <w:lang w:val="en-US"/>
    </w:rPr>
  </w:style>
  <w:style w:type="paragraph" w:customStyle="1" w:styleId="Style2-1">
    <w:name w:val="Style2-1"/>
    <w:basedOn w:val="Standard"/>
    <w:rsid w:val="00134487"/>
    <w:pPr>
      <w:ind w:leftChars="236" w:left="566"/>
      <w:jc w:val="both"/>
    </w:pPr>
    <w:rPr>
      <w:rFonts w:ascii="Times New Roman" w:eastAsia="PMingLiU" w:hAnsi="Times New Roman"/>
      <w:sz w:val="24"/>
      <w:szCs w:val="24"/>
      <w:lang w:val="en" w:eastAsia="zh-TW"/>
    </w:rPr>
  </w:style>
  <w:style w:type="paragraph" w:customStyle="1" w:styleId="Arial12pt">
    <w:name w:val="Arial 12 pt"/>
    <w:uiPriority w:val="99"/>
    <w:rsid w:val="00134487"/>
    <w:pPr>
      <w:widowControl w:val="0"/>
      <w:suppressAutoHyphens/>
      <w:autoSpaceDN w:val="0"/>
    </w:pPr>
    <w:rPr>
      <w:rFonts w:ascii="Arial" w:eastAsia="SimSun" w:hAnsi="Arial" w:cs="Tahoma"/>
      <w:kern w:val="3"/>
      <w:sz w:val="24"/>
      <w:szCs w:val="24"/>
      <w:lang w:eastAsia="zh-CN" w:bidi="hi-IN"/>
    </w:rPr>
  </w:style>
  <w:style w:type="paragraph" w:customStyle="1" w:styleId="Style1">
    <w:name w:val="Style1"/>
    <w:basedOn w:val="Standard"/>
    <w:rsid w:val="00134487"/>
    <w:pPr>
      <w:tabs>
        <w:tab w:val="left" w:pos="425"/>
      </w:tabs>
      <w:ind w:left="425" w:hanging="425"/>
      <w:jc w:val="both"/>
    </w:pPr>
    <w:rPr>
      <w:rFonts w:ascii="Times New Roman" w:eastAsia="PMingLiU" w:hAnsi="Times New Roman"/>
      <w:sz w:val="24"/>
      <w:szCs w:val="24"/>
      <w:lang w:val="en" w:eastAsia="zh-TW"/>
    </w:rPr>
  </w:style>
  <w:style w:type="paragraph" w:customStyle="1" w:styleId="Style2">
    <w:name w:val="Style2"/>
    <w:basedOn w:val="Standard"/>
    <w:rsid w:val="00134487"/>
    <w:pPr>
      <w:ind w:left="567" w:hanging="567"/>
      <w:jc w:val="both"/>
    </w:pPr>
    <w:rPr>
      <w:rFonts w:ascii="Times New Roman" w:eastAsia="PMingLiU" w:hAnsi="Times New Roman"/>
      <w:sz w:val="24"/>
      <w:szCs w:val="24"/>
      <w:lang w:val="en" w:eastAsia="zh-TW"/>
    </w:rPr>
  </w:style>
  <w:style w:type="paragraph" w:customStyle="1" w:styleId="Style3">
    <w:name w:val="Style3"/>
    <w:basedOn w:val="Standard"/>
    <w:rsid w:val="00134487"/>
    <w:pPr>
      <w:ind w:left="851" w:hanging="851"/>
      <w:jc w:val="both"/>
    </w:pPr>
    <w:rPr>
      <w:rFonts w:ascii="Times New Roman" w:eastAsia="PMingLiU" w:hAnsi="Times New Roman"/>
      <w:sz w:val="24"/>
      <w:szCs w:val="24"/>
      <w:lang w:eastAsia="zh-CN"/>
    </w:rPr>
  </w:style>
  <w:style w:type="paragraph" w:customStyle="1" w:styleId="Style4">
    <w:name w:val="Style4"/>
    <w:basedOn w:val="Standard"/>
    <w:rsid w:val="00134487"/>
    <w:pPr>
      <w:ind w:left="993" w:hanging="993"/>
      <w:jc w:val="both"/>
    </w:pPr>
    <w:rPr>
      <w:rFonts w:ascii="Times New Roman" w:eastAsia="PMingLiU" w:hAnsi="Times New Roman"/>
      <w:sz w:val="24"/>
      <w:szCs w:val="24"/>
      <w:lang w:eastAsia="zh-TW"/>
    </w:rPr>
  </w:style>
  <w:style w:type="paragraph" w:styleId="Inhaltsverzeichnisberschrift">
    <w:name w:val="TOC Heading"/>
    <w:basedOn w:val="berschrift1"/>
    <w:next w:val="Standard"/>
    <w:uiPriority w:val="39"/>
    <w:unhideWhenUsed/>
    <w:rsid w:val="0006517C"/>
    <w:pPr>
      <w:keepLines/>
      <w:numPr>
        <w:numId w:val="0"/>
      </w:numPr>
      <w:spacing w:before="240" w:after="0" w:line="259" w:lineRule="auto"/>
      <w:outlineLvl w:val="9"/>
    </w:pPr>
    <w:rPr>
      <w:rFonts w:eastAsiaTheme="majorEastAsia" w:cstheme="majorBidi"/>
      <w:b w:val="0"/>
      <w:smallCaps w:val="0"/>
      <w:color w:val="365F91" w:themeColor="accent1" w:themeShade="BF"/>
      <w:sz w:val="32"/>
      <w:szCs w:val="32"/>
    </w:rPr>
  </w:style>
  <w:style w:type="paragraph" w:customStyle="1" w:styleId="StdTabelle">
    <w:name w:val="Std Tabelle"/>
    <w:basedOn w:val="Standard"/>
    <w:uiPriority w:val="9"/>
    <w:rsid w:val="00407322"/>
    <w:pPr>
      <w:spacing w:before="60" w:after="60"/>
    </w:pPr>
    <w:rPr>
      <w:sz w:val="20"/>
    </w:rPr>
  </w:style>
  <w:style w:type="character" w:customStyle="1" w:styleId="KopfzeileZchn">
    <w:name w:val="Kopfzeile Zchn"/>
    <w:basedOn w:val="Absatz-Standardschriftart"/>
    <w:link w:val="Kopfzeile"/>
    <w:uiPriority w:val="99"/>
    <w:rsid w:val="00B70A5E"/>
    <w:rPr>
      <w:rFonts w:ascii="Arial" w:hAnsi="Arial"/>
      <w:b/>
      <w:lang w:val="en-US"/>
    </w:rPr>
  </w:style>
  <w:style w:type="character" w:customStyle="1" w:styleId="FuzeileZchn">
    <w:name w:val="Fußzeile Zchn"/>
    <w:basedOn w:val="Absatz-Standardschriftart"/>
    <w:link w:val="Fuzeile"/>
    <w:uiPriority w:val="99"/>
    <w:rsid w:val="00B70A5E"/>
    <w:rPr>
      <w:rFonts w:ascii="Arial" w:hAnsi="Arial"/>
      <w:sz w:val="16"/>
      <w:lang w:val="en-US"/>
    </w:rPr>
  </w:style>
  <w:style w:type="character" w:customStyle="1" w:styleId="UnresolvedMention">
    <w:name w:val="Unresolved Mention"/>
    <w:basedOn w:val="Absatz-Standardschriftart"/>
    <w:uiPriority w:val="99"/>
    <w:semiHidden/>
    <w:unhideWhenUsed/>
    <w:rsid w:val="002E535D"/>
    <w:rPr>
      <w:color w:val="605E5C"/>
      <w:shd w:val="clear" w:color="auto" w:fill="E1DFDD"/>
    </w:rPr>
  </w:style>
  <w:style w:type="character" w:styleId="Fett">
    <w:name w:val="Strong"/>
    <w:basedOn w:val="Absatz-Standardschriftart"/>
    <w:uiPriority w:val="22"/>
    <w:qFormat/>
    <w:rsid w:val="004F35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344328">
      <w:bodyDiv w:val="1"/>
      <w:marLeft w:val="0"/>
      <w:marRight w:val="0"/>
      <w:marTop w:val="0"/>
      <w:marBottom w:val="0"/>
      <w:divBdr>
        <w:top w:val="none" w:sz="0" w:space="0" w:color="auto"/>
        <w:left w:val="none" w:sz="0" w:space="0" w:color="auto"/>
        <w:bottom w:val="none" w:sz="0" w:space="0" w:color="auto"/>
        <w:right w:val="none" w:sz="0" w:space="0" w:color="auto"/>
      </w:divBdr>
    </w:div>
    <w:div w:id="823400196">
      <w:bodyDiv w:val="1"/>
      <w:marLeft w:val="0"/>
      <w:marRight w:val="0"/>
      <w:marTop w:val="0"/>
      <w:marBottom w:val="0"/>
      <w:divBdr>
        <w:top w:val="none" w:sz="0" w:space="0" w:color="auto"/>
        <w:left w:val="none" w:sz="0" w:space="0" w:color="auto"/>
        <w:bottom w:val="none" w:sz="0" w:space="0" w:color="auto"/>
        <w:right w:val="none" w:sz="0" w:space="0" w:color="auto"/>
      </w:divBdr>
    </w:div>
    <w:div w:id="880829146">
      <w:bodyDiv w:val="1"/>
      <w:marLeft w:val="0"/>
      <w:marRight w:val="0"/>
      <w:marTop w:val="0"/>
      <w:marBottom w:val="0"/>
      <w:divBdr>
        <w:top w:val="none" w:sz="0" w:space="0" w:color="auto"/>
        <w:left w:val="none" w:sz="0" w:space="0" w:color="auto"/>
        <w:bottom w:val="none" w:sz="0" w:space="0" w:color="auto"/>
        <w:right w:val="none" w:sz="0" w:space="0" w:color="auto"/>
      </w:divBdr>
    </w:div>
    <w:div w:id="1218739612">
      <w:bodyDiv w:val="1"/>
      <w:marLeft w:val="0"/>
      <w:marRight w:val="0"/>
      <w:marTop w:val="0"/>
      <w:marBottom w:val="0"/>
      <w:divBdr>
        <w:top w:val="none" w:sz="0" w:space="0" w:color="auto"/>
        <w:left w:val="none" w:sz="0" w:space="0" w:color="auto"/>
        <w:bottom w:val="none" w:sz="0" w:space="0" w:color="auto"/>
        <w:right w:val="none" w:sz="0" w:space="0" w:color="auto"/>
      </w:divBdr>
    </w:div>
    <w:div w:id="1551767065">
      <w:bodyDiv w:val="1"/>
      <w:marLeft w:val="0"/>
      <w:marRight w:val="0"/>
      <w:marTop w:val="0"/>
      <w:marBottom w:val="0"/>
      <w:divBdr>
        <w:top w:val="none" w:sz="0" w:space="0" w:color="auto"/>
        <w:left w:val="none" w:sz="0" w:space="0" w:color="auto"/>
        <w:bottom w:val="none" w:sz="0" w:space="0" w:color="auto"/>
        <w:right w:val="none" w:sz="0" w:space="0" w:color="auto"/>
      </w:divBdr>
    </w:div>
    <w:div w:id="1851219458">
      <w:bodyDiv w:val="1"/>
      <w:marLeft w:val="0"/>
      <w:marRight w:val="0"/>
      <w:marTop w:val="0"/>
      <w:marBottom w:val="0"/>
      <w:divBdr>
        <w:top w:val="none" w:sz="0" w:space="0" w:color="auto"/>
        <w:left w:val="none" w:sz="0" w:space="0" w:color="auto"/>
        <w:bottom w:val="none" w:sz="0" w:space="0" w:color="auto"/>
        <w:right w:val="none" w:sz="0" w:space="0" w:color="auto"/>
      </w:divBdr>
    </w:div>
    <w:div w:id="206998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IRT@adlinktech.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Q:\Prozessdokumente\0.%20Dokumentenvorlagen%20-Templates\13.%20Quality\ATG-QM-TL-007%20Standard_Work_Instructio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B7261-20BD-49E4-B847-F3AAE6EC4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ATG-QM-TL-007 Standard_Work_Instruction.dotx</Template>
  <TotalTime>0</TotalTime>
  <Pages>4</Pages>
  <Words>532</Words>
  <Characters>3034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ATG-QM-TL-007</vt:lpstr>
    </vt:vector>
  </TitlesOfParts>
  <Manager>QM</Manager>
  <Company>ADLINK GmbH</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ATG-QM-TL-007</dc:title>
  <dc:creator>R. Barth, ATGD</dc:creator>
  <cp:lastModifiedBy>Ralf Eberhard</cp:lastModifiedBy>
  <cp:revision>7</cp:revision>
  <cp:lastPrinted>2026-01-28T11:09:00Z</cp:lastPrinted>
  <dcterms:created xsi:type="dcterms:W3CDTF">2026-02-05T07:56:00Z</dcterms:created>
  <dcterms:modified xsi:type="dcterms:W3CDTF">2026-06-23T07:47:00Z</dcterms:modified>
</cp:coreProperties>
</file>